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F6" w:rsidRDefault="00C074F6" w:rsidP="00D81E11">
      <w:pPr>
        <w:jc w:val="center"/>
        <w:rPr>
          <w:b/>
          <w:sz w:val="28"/>
        </w:rPr>
      </w:pPr>
      <w:r w:rsidRPr="00D81E11">
        <w:rPr>
          <w:b/>
          <w:sz w:val="28"/>
        </w:rPr>
        <w:t>Accesibilidad web España</w:t>
      </w:r>
      <w:r w:rsidR="009E0B99" w:rsidRPr="00D81E11">
        <w:rPr>
          <w:b/>
          <w:sz w:val="28"/>
        </w:rPr>
        <w:t xml:space="preserve">: </w:t>
      </w:r>
      <w:r w:rsidR="00793B78">
        <w:rPr>
          <w:b/>
          <w:sz w:val="28"/>
        </w:rPr>
        <w:t>evolución de la l</w:t>
      </w:r>
      <w:r w:rsidR="009E0B99" w:rsidRPr="00D81E11">
        <w:rPr>
          <w:b/>
          <w:sz w:val="28"/>
        </w:rPr>
        <w:t>egislación y evaluación</w:t>
      </w:r>
      <w:r w:rsidR="00793B78">
        <w:rPr>
          <w:b/>
          <w:sz w:val="28"/>
        </w:rPr>
        <w:t xml:space="preserve"> preliminar de sitios de interés social.</w:t>
      </w:r>
    </w:p>
    <w:p w:rsidR="00671728" w:rsidRDefault="00671728" w:rsidP="00671728">
      <w:pPr>
        <w:jc w:val="center"/>
        <w:rPr>
          <w:b/>
          <w:sz w:val="28"/>
        </w:rPr>
      </w:pPr>
      <w:r w:rsidRPr="00671728">
        <w:rPr>
          <w:b/>
          <w:sz w:val="28"/>
        </w:rPr>
        <w:t xml:space="preserve">Web </w:t>
      </w:r>
      <w:proofErr w:type="spellStart"/>
      <w:r w:rsidRPr="00671728">
        <w:rPr>
          <w:b/>
          <w:sz w:val="28"/>
        </w:rPr>
        <w:t>accessibility</w:t>
      </w:r>
      <w:proofErr w:type="spellEnd"/>
      <w:r w:rsidRPr="00671728">
        <w:rPr>
          <w:b/>
          <w:sz w:val="28"/>
        </w:rPr>
        <w:t xml:space="preserve"> in </w:t>
      </w:r>
      <w:proofErr w:type="spellStart"/>
      <w:r w:rsidRPr="00671728">
        <w:rPr>
          <w:b/>
          <w:sz w:val="28"/>
        </w:rPr>
        <w:t>Spain</w:t>
      </w:r>
      <w:proofErr w:type="spellEnd"/>
      <w:r w:rsidRPr="00671728">
        <w:rPr>
          <w:b/>
          <w:sz w:val="28"/>
        </w:rPr>
        <w:t xml:space="preserve">: </w:t>
      </w:r>
      <w:proofErr w:type="spellStart"/>
      <w:r w:rsidRPr="00671728">
        <w:rPr>
          <w:b/>
          <w:sz w:val="28"/>
        </w:rPr>
        <w:t>evolution</w:t>
      </w:r>
      <w:proofErr w:type="spellEnd"/>
      <w:r w:rsidRPr="00671728">
        <w:rPr>
          <w:b/>
          <w:sz w:val="28"/>
        </w:rPr>
        <w:t xml:space="preserve"> of </w:t>
      </w:r>
      <w:proofErr w:type="spellStart"/>
      <w:r w:rsidRPr="00671728">
        <w:rPr>
          <w:b/>
          <w:sz w:val="28"/>
        </w:rPr>
        <w:t>legislation</w:t>
      </w:r>
      <w:proofErr w:type="spellEnd"/>
      <w:r w:rsidRPr="00671728">
        <w:rPr>
          <w:b/>
          <w:sz w:val="28"/>
        </w:rPr>
        <w:t xml:space="preserve"> and </w:t>
      </w:r>
      <w:proofErr w:type="spellStart"/>
      <w:r w:rsidRPr="00671728">
        <w:rPr>
          <w:b/>
          <w:sz w:val="28"/>
        </w:rPr>
        <w:t>preliminary</w:t>
      </w:r>
      <w:proofErr w:type="spellEnd"/>
      <w:r w:rsidRPr="00671728">
        <w:rPr>
          <w:b/>
          <w:sz w:val="28"/>
        </w:rPr>
        <w:t xml:space="preserve"> </w:t>
      </w:r>
      <w:proofErr w:type="spellStart"/>
      <w:r w:rsidRPr="00671728">
        <w:rPr>
          <w:b/>
          <w:sz w:val="28"/>
        </w:rPr>
        <w:t>evaluation</w:t>
      </w:r>
      <w:proofErr w:type="spellEnd"/>
      <w:r w:rsidRPr="00671728">
        <w:rPr>
          <w:b/>
          <w:sz w:val="28"/>
        </w:rPr>
        <w:t xml:space="preserve"> of </w:t>
      </w:r>
      <w:proofErr w:type="spellStart"/>
      <w:r w:rsidRPr="00671728">
        <w:rPr>
          <w:b/>
          <w:sz w:val="28"/>
        </w:rPr>
        <w:t>websites</w:t>
      </w:r>
      <w:proofErr w:type="spellEnd"/>
      <w:r w:rsidRPr="00671728">
        <w:rPr>
          <w:b/>
          <w:sz w:val="28"/>
        </w:rPr>
        <w:t xml:space="preserve"> of social </w:t>
      </w:r>
      <w:proofErr w:type="spellStart"/>
      <w:r w:rsidRPr="00671728">
        <w:rPr>
          <w:b/>
          <w:sz w:val="28"/>
        </w:rPr>
        <w:t>interest</w:t>
      </w:r>
      <w:proofErr w:type="spellEnd"/>
      <w:r w:rsidRPr="00671728">
        <w:rPr>
          <w:b/>
          <w:sz w:val="28"/>
        </w:rPr>
        <w:t>.</w:t>
      </w:r>
    </w:p>
    <w:p w:rsidR="0048621E" w:rsidRPr="00671728" w:rsidRDefault="0048621E" w:rsidP="00671728">
      <w:pPr>
        <w:jc w:val="center"/>
        <w:rPr>
          <w:b/>
          <w:sz w:val="28"/>
        </w:rPr>
      </w:pPr>
    </w:p>
    <w:p w:rsidR="00314A0C" w:rsidRDefault="0048621E" w:rsidP="00D81E11">
      <w:pPr>
        <w:jc w:val="center"/>
        <w:rPr>
          <w:rFonts w:ascii="Arial" w:hAnsi="Arial" w:cs="Arial"/>
          <w:color w:val="333333"/>
          <w:sz w:val="19"/>
          <w:szCs w:val="19"/>
        </w:rPr>
      </w:pPr>
      <w:proofErr w:type="spellStart"/>
      <w:r>
        <w:rPr>
          <w:b/>
          <w:bCs/>
        </w:rPr>
        <w:t>Yorka</w:t>
      </w:r>
      <w:proofErr w:type="spellEnd"/>
      <w:r>
        <w:rPr>
          <w:b/>
          <w:bCs/>
        </w:rPr>
        <w:t xml:space="preserve"> Tatiana Ortiz Ruiz </w:t>
      </w:r>
      <w:hyperlink r:id="rId8" w:history="1">
        <w:r w:rsidRPr="00E866FA">
          <w:rPr>
            <w:rStyle w:val="Hipervnculo"/>
            <w:rFonts w:ascii="Arial" w:hAnsi="Arial" w:cs="Arial"/>
            <w:sz w:val="19"/>
            <w:szCs w:val="19"/>
          </w:rPr>
          <w:t>yortiz@ulagos.cl</w:t>
        </w:r>
      </w:hyperlink>
    </w:p>
    <w:p w:rsidR="00314A0C" w:rsidRDefault="00314A0C" w:rsidP="00D81E11">
      <w:pPr>
        <w:jc w:val="center"/>
        <w:rPr>
          <w:b/>
          <w:sz w:val="28"/>
        </w:rPr>
      </w:pPr>
      <w:r>
        <w:rPr>
          <w:b/>
          <w:sz w:val="28"/>
        </w:rPr>
        <w:t>Resumen</w:t>
      </w:r>
    </w:p>
    <w:p w:rsidR="00671728" w:rsidRDefault="00671728" w:rsidP="00671728">
      <w:pPr>
        <w:jc w:val="both"/>
      </w:pPr>
      <w:r w:rsidRPr="00671728">
        <w:t>El objetivo general del estudio ha sido conocer la evolución de la legislación española en lo relacionado con accesibilidad web, evaluando sitios de interés social. Se hizo una revisión de las normativas desde sus inicios hasta la actualidad. Para la evaluación se ha utilizado la herramienta TAW, que permite analizar, de acuerdo a la norma WCAG 2.0, la existencia de problemas, advertencias y elementos no analizados, que deben ser confirmados manualmente. Después de revisar automática y manualmente los Principios, Pautas y Criterios de conformidad de acuerdo a la Norma UNE 139803:2012: Requisitos de accesibilidad para contenidos en la Web, equivalente a la WCAG 2.0 en sus niveles A y AA, se evidencia que los sitios web evaluados, del Ministerio de Educación, Cultura y Deporte y de la Comunidad Autónoma Junta de Castilla y León, no cumplen con los parámetros establecidos en la legislación, siendo sitios no accesibles. Se concluye que la legislación española ha evolucionado en cuanto a accesibilidad web, pero deben hacerse chequeos permanentes para resolver problemas y garantizar la accesibilidad.</w:t>
      </w:r>
    </w:p>
    <w:p w:rsidR="00341D92" w:rsidRDefault="00341D92" w:rsidP="00341D92">
      <w:r w:rsidRPr="00A81FFF">
        <w:t>P</w:t>
      </w:r>
      <w:r w:rsidR="008C5942">
        <w:t xml:space="preserve">alabras clave: accesibilidad a la información, </w:t>
      </w:r>
      <w:r>
        <w:t>legislac</w:t>
      </w:r>
      <w:r w:rsidR="008C5942">
        <w:t>ión, evaluación, Internet, España.</w:t>
      </w:r>
    </w:p>
    <w:p w:rsidR="00671728" w:rsidRDefault="00671728" w:rsidP="00D81E11">
      <w:pPr>
        <w:jc w:val="center"/>
        <w:rPr>
          <w:b/>
          <w:sz w:val="28"/>
        </w:rPr>
      </w:pPr>
      <w:proofErr w:type="spellStart"/>
      <w:r>
        <w:rPr>
          <w:b/>
          <w:sz w:val="28"/>
        </w:rPr>
        <w:t>A</w:t>
      </w:r>
      <w:r w:rsidRPr="00671728">
        <w:rPr>
          <w:b/>
          <w:sz w:val="28"/>
        </w:rPr>
        <w:t>bstract</w:t>
      </w:r>
      <w:proofErr w:type="spellEnd"/>
    </w:p>
    <w:p w:rsidR="00671728" w:rsidRPr="0053062A" w:rsidRDefault="00671728" w:rsidP="00671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CL"/>
        </w:rPr>
      </w:pPr>
    </w:p>
    <w:p w:rsidR="00671728" w:rsidRPr="00671728" w:rsidRDefault="00671728" w:rsidP="00671728">
      <w:pPr>
        <w:jc w:val="both"/>
      </w:pPr>
      <w:proofErr w:type="spellStart"/>
      <w:r w:rsidRPr="00671728">
        <w:t>The</w:t>
      </w:r>
      <w:proofErr w:type="spellEnd"/>
      <w:r w:rsidRPr="00671728">
        <w:t xml:space="preserve"> general </w:t>
      </w:r>
      <w:proofErr w:type="spellStart"/>
      <w:r w:rsidRPr="00671728">
        <w:t>objective</w:t>
      </w:r>
      <w:proofErr w:type="spellEnd"/>
      <w:r w:rsidRPr="00671728">
        <w:t xml:space="preserve"> of </w:t>
      </w:r>
      <w:proofErr w:type="spellStart"/>
      <w:r w:rsidRPr="00671728">
        <w:t>the</w:t>
      </w:r>
      <w:proofErr w:type="spellEnd"/>
      <w:r w:rsidRPr="00671728">
        <w:t xml:space="preserve"> </w:t>
      </w:r>
      <w:proofErr w:type="spellStart"/>
      <w:r w:rsidRPr="00671728">
        <w:t>study</w:t>
      </w:r>
      <w:proofErr w:type="spellEnd"/>
      <w:r w:rsidRPr="00671728">
        <w:t xml:space="preserve"> </w:t>
      </w:r>
      <w:proofErr w:type="spellStart"/>
      <w:r w:rsidRPr="00671728">
        <w:t>was</w:t>
      </w:r>
      <w:proofErr w:type="spellEnd"/>
      <w:r w:rsidRPr="00671728">
        <w:t xml:space="preserve"> </w:t>
      </w:r>
      <w:proofErr w:type="spellStart"/>
      <w:r w:rsidRPr="00671728">
        <w:t>to</w:t>
      </w:r>
      <w:proofErr w:type="spellEnd"/>
      <w:r w:rsidRPr="00671728">
        <w:t xml:space="preserve"> </w:t>
      </w:r>
      <w:proofErr w:type="spellStart"/>
      <w:r w:rsidRPr="00671728">
        <w:t>know</w:t>
      </w:r>
      <w:proofErr w:type="spellEnd"/>
      <w:r w:rsidRPr="00671728">
        <w:t xml:space="preserve"> </w:t>
      </w:r>
      <w:proofErr w:type="spellStart"/>
      <w:r w:rsidRPr="00671728">
        <w:t>the</w:t>
      </w:r>
      <w:proofErr w:type="spellEnd"/>
      <w:r w:rsidRPr="00671728">
        <w:t xml:space="preserve"> </w:t>
      </w:r>
      <w:proofErr w:type="spellStart"/>
      <w:r w:rsidRPr="00671728">
        <w:t>evolution</w:t>
      </w:r>
      <w:proofErr w:type="spellEnd"/>
      <w:r w:rsidRPr="00671728">
        <w:t xml:space="preserve"> of </w:t>
      </w:r>
      <w:proofErr w:type="spellStart"/>
      <w:r w:rsidRPr="00671728">
        <w:t>Spanish</w:t>
      </w:r>
      <w:proofErr w:type="spellEnd"/>
      <w:r w:rsidRPr="00671728">
        <w:t xml:space="preserve"> </w:t>
      </w:r>
      <w:proofErr w:type="spellStart"/>
      <w:r w:rsidRPr="00671728">
        <w:t>legislation</w:t>
      </w:r>
      <w:proofErr w:type="spellEnd"/>
      <w:r w:rsidRPr="00671728">
        <w:t xml:space="preserve"> in </w:t>
      </w:r>
      <w:proofErr w:type="spellStart"/>
      <w:r w:rsidRPr="00671728">
        <w:t>relation</w:t>
      </w:r>
      <w:proofErr w:type="spellEnd"/>
      <w:r w:rsidRPr="00671728">
        <w:t xml:space="preserve"> </w:t>
      </w:r>
      <w:proofErr w:type="spellStart"/>
      <w:r w:rsidRPr="00671728">
        <w:t>to</w:t>
      </w:r>
      <w:proofErr w:type="spellEnd"/>
      <w:r w:rsidRPr="00671728">
        <w:t xml:space="preserve"> web </w:t>
      </w:r>
      <w:proofErr w:type="spellStart"/>
      <w:r w:rsidRPr="00671728">
        <w:t>accessibility</w:t>
      </w:r>
      <w:proofErr w:type="spellEnd"/>
      <w:r w:rsidRPr="00671728">
        <w:t xml:space="preserve">, </w:t>
      </w:r>
      <w:proofErr w:type="spellStart"/>
      <w:r w:rsidRPr="00671728">
        <w:t>evaluating</w:t>
      </w:r>
      <w:proofErr w:type="spellEnd"/>
      <w:r w:rsidRPr="00671728">
        <w:t xml:space="preserve"> </w:t>
      </w:r>
      <w:proofErr w:type="spellStart"/>
      <w:r w:rsidRPr="00671728">
        <w:t>websites</w:t>
      </w:r>
      <w:proofErr w:type="spellEnd"/>
      <w:r w:rsidRPr="00671728">
        <w:t xml:space="preserve"> of social </w:t>
      </w:r>
      <w:proofErr w:type="spellStart"/>
      <w:r w:rsidRPr="00671728">
        <w:t>interest</w:t>
      </w:r>
      <w:proofErr w:type="spellEnd"/>
      <w:r w:rsidRPr="00671728">
        <w:t xml:space="preserve">. A </w:t>
      </w:r>
      <w:proofErr w:type="spellStart"/>
      <w:r w:rsidRPr="00671728">
        <w:t>revision</w:t>
      </w:r>
      <w:proofErr w:type="spellEnd"/>
      <w:r w:rsidRPr="00671728">
        <w:t xml:space="preserve"> of </w:t>
      </w:r>
      <w:proofErr w:type="spellStart"/>
      <w:r w:rsidRPr="00671728">
        <w:t>the</w:t>
      </w:r>
      <w:proofErr w:type="spellEnd"/>
      <w:r w:rsidRPr="00671728">
        <w:t xml:space="preserve"> </w:t>
      </w:r>
      <w:proofErr w:type="spellStart"/>
      <w:r w:rsidRPr="00671728">
        <w:t>regulations</w:t>
      </w:r>
      <w:proofErr w:type="spellEnd"/>
      <w:r w:rsidRPr="00671728">
        <w:t xml:space="preserve"> </w:t>
      </w:r>
      <w:proofErr w:type="spellStart"/>
      <w:r w:rsidRPr="00671728">
        <w:t>was</w:t>
      </w:r>
      <w:proofErr w:type="spellEnd"/>
      <w:r w:rsidRPr="00671728">
        <w:t xml:space="preserve"> </w:t>
      </w:r>
      <w:proofErr w:type="spellStart"/>
      <w:r w:rsidRPr="00671728">
        <w:t>made</w:t>
      </w:r>
      <w:proofErr w:type="spellEnd"/>
      <w:r w:rsidRPr="00671728">
        <w:t xml:space="preserve"> </w:t>
      </w:r>
      <w:proofErr w:type="spellStart"/>
      <w:r w:rsidRPr="00671728">
        <w:t>from</w:t>
      </w:r>
      <w:proofErr w:type="spellEnd"/>
      <w:r w:rsidRPr="00671728">
        <w:t xml:space="preserve"> </w:t>
      </w:r>
      <w:proofErr w:type="spellStart"/>
      <w:r w:rsidRPr="00671728">
        <w:t>its</w:t>
      </w:r>
      <w:proofErr w:type="spellEnd"/>
      <w:r w:rsidRPr="00671728">
        <w:t xml:space="preserve"> </w:t>
      </w:r>
      <w:proofErr w:type="spellStart"/>
      <w:r w:rsidRPr="00671728">
        <w:t>beginnings</w:t>
      </w:r>
      <w:proofErr w:type="spellEnd"/>
      <w:r w:rsidRPr="00671728">
        <w:t xml:space="preserve"> </w:t>
      </w:r>
      <w:proofErr w:type="spellStart"/>
      <w:r w:rsidRPr="00671728">
        <w:t>until</w:t>
      </w:r>
      <w:proofErr w:type="spellEnd"/>
      <w:r w:rsidRPr="00671728">
        <w:t xml:space="preserve"> </w:t>
      </w:r>
      <w:proofErr w:type="spellStart"/>
      <w:r w:rsidRPr="00671728">
        <w:t>now</w:t>
      </w:r>
      <w:proofErr w:type="spellEnd"/>
      <w:r w:rsidRPr="00671728">
        <w:t xml:space="preserve">. </w:t>
      </w:r>
      <w:proofErr w:type="spellStart"/>
      <w:r w:rsidRPr="00671728">
        <w:t>For</w:t>
      </w:r>
      <w:proofErr w:type="spellEnd"/>
      <w:r w:rsidRPr="00671728">
        <w:t xml:space="preserve"> </w:t>
      </w:r>
      <w:proofErr w:type="spellStart"/>
      <w:r w:rsidRPr="00671728">
        <w:t>the</w:t>
      </w:r>
      <w:proofErr w:type="spellEnd"/>
      <w:r w:rsidRPr="00671728">
        <w:t xml:space="preserve"> </w:t>
      </w:r>
      <w:proofErr w:type="spellStart"/>
      <w:r w:rsidRPr="00671728">
        <w:t>evaluation</w:t>
      </w:r>
      <w:proofErr w:type="spellEnd"/>
      <w:r w:rsidRPr="00671728">
        <w:t xml:space="preserve">, </w:t>
      </w:r>
      <w:proofErr w:type="spellStart"/>
      <w:r w:rsidRPr="00671728">
        <w:t>the</w:t>
      </w:r>
      <w:proofErr w:type="spellEnd"/>
      <w:r w:rsidRPr="00671728">
        <w:t xml:space="preserve"> TAW </w:t>
      </w:r>
      <w:proofErr w:type="spellStart"/>
      <w:r w:rsidRPr="00671728">
        <w:t>tool</w:t>
      </w:r>
      <w:proofErr w:type="spellEnd"/>
      <w:r w:rsidRPr="00671728">
        <w:t xml:space="preserve"> has </w:t>
      </w:r>
      <w:proofErr w:type="spellStart"/>
      <w:r w:rsidRPr="00671728">
        <w:t>been</w:t>
      </w:r>
      <w:proofErr w:type="spellEnd"/>
      <w:r w:rsidRPr="00671728">
        <w:t xml:space="preserve"> </w:t>
      </w:r>
      <w:proofErr w:type="spellStart"/>
      <w:r w:rsidRPr="00671728">
        <w:t>used</w:t>
      </w:r>
      <w:proofErr w:type="spellEnd"/>
      <w:r w:rsidRPr="00671728">
        <w:t xml:space="preserve">, </w:t>
      </w:r>
      <w:proofErr w:type="spellStart"/>
      <w:r w:rsidRPr="00671728">
        <w:t>which</w:t>
      </w:r>
      <w:proofErr w:type="spellEnd"/>
      <w:r w:rsidRPr="00671728">
        <w:t xml:space="preserve"> </w:t>
      </w:r>
      <w:proofErr w:type="spellStart"/>
      <w:r w:rsidRPr="00671728">
        <w:t>allows</w:t>
      </w:r>
      <w:proofErr w:type="spellEnd"/>
      <w:r w:rsidRPr="00671728">
        <w:t xml:space="preserve"> </w:t>
      </w:r>
      <w:proofErr w:type="spellStart"/>
      <w:r w:rsidRPr="00671728">
        <w:t>analyzing</w:t>
      </w:r>
      <w:proofErr w:type="spellEnd"/>
      <w:r w:rsidRPr="00671728">
        <w:t xml:space="preserve">, </w:t>
      </w:r>
      <w:proofErr w:type="spellStart"/>
      <w:r w:rsidRPr="00671728">
        <w:t>according</w:t>
      </w:r>
      <w:proofErr w:type="spellEnd"/>
      <w:r w:rsidRPr="00671728">
        <w:t xml:space="preserve"> </w:t>
      </w:r>
      <w:proofErr w:type="spellStart"/>
      <w:r w:rsidRPr="00671728">
        <w:t>to</w:t>
      </w:r>
      <w:proofErr w:type="spellEnd"/>
      <w:r w:rsidRPr="00671728">
        <w:t xml:space="preserve"> </w:t>
      </w:r>
      <w:proofErr w:type="spellStart"/>
      <w:r w:rsidRPr="00671728">
        <w:t>the</w:t>
      </w:r>
      <w:proofErr w:type="spellEnd"/>
      <w:r w:rsidRPr="00671728">
        <w:t xml:space="preserve"> WCAG 2.0 </w:t>
      </w:r>
      <w:proofErr w:type="spellStart"/>
      <w:r w:rsidRPr="00671728">
        <w:t>standard</w:t>
      </w:r>
      <w:proofErr w:type="spellEnd"/>
      <w:r w:rsidRPr="00671728">
        <w:t xml:space="preserve">, </w:t>
      </w:r>
      <w:proofErr w:type="spellStart"/>
      <w:r w:rsidRPr="00671728">
        <w:t>the</w:t>
      </w:r>
      <w:proofErr w:type="spellEnd"/>
      <w:r w:rsidRPr="00671728">
        <w:t xml:space="preserve"> </w:t>
      </w:r>
      <w:proofErr w:type="spellStart"/>
      <w:r w:rsidRPr="00671728">
        <w:t>existence</w:t>
      </w:r>
      <w:proofErr w:type="spellEnd"/>
      <w:r w:rsidRPr="00671728">
        <w:t xml:space="preserve"> of </w:t>
      </w:r>
      <w:proofErr w:type="spellStart"/>
      <w:r w:rsidRPr="00671728">
        <w:t>problems</w:t>
      </w:r>
      <w:proofErr w:type="spellEnd"/>
      <w:r w:rsidRPr="00671728">
        <w:t xml:space="preserve">, </w:t>
      </w:r>
      <w:proofErr w:type="spellStart"/>
      <w:r w:rsidRPr="00671728">
        <w:t>warnings</w:t>
      </w:r>
      <w:proofErr w:type="spellEnd"/>
      <w:r w:rsidRPr="00671728">
        <w:t xml:space="preserve"> and </w:t>
      </w:r>
      <w:proofErr w:type="spellStart"/>
      <w:r w:rsidRPr="00671728">
        <w:t>elements</w:t>
      </w:r>
      <w:proofErr w:type="spellEnd"/>
      <w:r w:rsidRPr="00671728">
        <w:t xml:space="preserve"> </w:t>
      </w:r>
      <w:proofErr w:type="spellStart"/>
      <w:r w:rsidRPr="00671728">
        <w:t>not</w:t>
      </w:r>
      <w:proofErr w:type="spellEnd"/>
      <w:r w:rsidRPr="00671728">
        <w:t xml:space="preserve"> </w:t>
      </w:r>
      <w:proofErr w:type="spellStart"/>
      <w:r w:rsidRPr="00671728">
        <w:t>analyzed</w:t>
      </w:r>
      <w:proofErr w:type="spellEnd"/>
      <w:r w:rsidRPr="00671728">
        <w:t xml:space="preserve">, </w:t>
      </w:r>
      <w:proofErr w:type="spellStart"/>
      <w:r w:rsidRPr="00671728">
        <w:t>which</w:t>
      </w:r>
      <w:proofErr w:type="spellEnd"/>
      <w:r w:rsidRPr="00671728">
        <w:t xml:space="preserve"> </w:t>
      </w:r>
      <w:proofErr w:type="spellStart"/>
      <w:r w:rsidRPr="00671728">
        <w:t>must</w:t>
      </w:r>
      <w:proofErr w:type="spellEnd"/>
      <w:r w:rsidRPr="00671728">
        <w:t xml:space="preserve"> </w:t>
      </w:r>
      <w:proofErr w:type="spellStart"/>
      <w:r w:rsidRPr="00671728">
        <w:t>be</w:t>
      </w:r>
      <w:proofErr w:type="spellEnd"/>
      <w:r w:rsidRPr="00671728">
        <w:t xml:space="preserve"> </w:t>
      </w:r>
      <w:proofErr w:type="spellStart"/>
      <w:r w:rsidRPr="00671728">
        <w:t>confirmed</w:t>
      </w:r>
      <w:proofErr w:type="spellEnd"/>
      <w:r w:rsidRPr="00671728">
        <w:t xml:space="preserve"> </w:t>
      </w:r>
      <w:proofErr w:type="spellStart"/>
      <w:r w:rsidRPr="00671728">
        <w:t>manually</w:t>
      </w:r>
      <w:proofErr w:type="spellEnd"/>
      <w:r w:rsidRPr="00671728">
        <w:t xml:space="preserve">. </w:t>
      </w:r>
      <w:proofErr w:type="spellStart"/>
      <w:r w:rsidRPr="00671728">
        <w:t>After</w:t>
      </w:r>
      <w:proofErr w:type="spellEnd"/>
      <w:r w:rsidRPr="00671728">
        <w:t xml:space="preserve"> </w:t>
      </w:r>
      <w:proofErr w:type="spellStart"/>
      <w:r w:rsidRPr="00671728">
        <w:t>automatically</w:t>
      </w:r>
      <w:proofErr w:type="spellEnd"/>
      <w:r w:rsidRPr="00671728">
        <w:t xml:space="preserve"> and </w:t>
      </w:r>
      <w:proofErr w:type="spellStart"/>
      <w:r w:rsidRPr="00671728">
        <w:t>manually</w:t>
      </w:r>
      <w:proofErr w:type="spellEnd"/>
      <w:r w:rsidRPr="00671728">
        <w:t xml:space="preserve"> </w:t>
      </w:r>
      <w:proofErr w:type="spellStart"/>
      <w:r w:rsidRPr="00671728">
        <w:t>reviewing</w:t>
      </w:r>
      <w:proofErr w:type="spellEnd"/>
      <w:r w:rsidRPr="00671728">
        <w:t xml:space="preserve"> </w:t>
      </w:r>
      <w:proofErr w:type="spellStart"/>
      <w:r w:rsidRPr="00671728">
        <w:t>the</w:t>
      </w:r>
      <w:proofErr w:type="spellEnd"/>
      <w:r w:rsidRPr="00671728">
        <w:t xml:space="preserve"> </w:t>
      </w:r>
      <w:proofErr w:type="spellStart"/>
      <w:r w:rsidRPr="00671728">
        <w:t>Principles</w:t>
      </w:r>
      <w:proofErr w:type="spellEnd"/>
      <w:r w:rsidRPr="00671728">
        <w:t xml:space="preserve">, </w:t>
      </w:r>
      <w:proofErr w:type="spellStart"/>
      <w:r w:rsidRPr="00671728">
        <w:t>Guidelines</w:t>
      </w:r>
      <w:proofErr w:type="spellEnd"/>
      <w:r w:rsidRPr="00671728">
        <w:t xml:space="preserve"> and </w:t>
      </w:r>
      <w:proofErr w:type="spellStart"/>
      <w:r w:rsidRPr="00671728">
        <w:t>Compliance</w:t>
      </w:r>
      <w:proofErr w:type="spellEnd"/>
      <w:r w:rsidRPr="00671728">
        <w:t xml:space="preserve"> </w:t>
      </w:r>
      <w:proofErr w:type="spellStart"/>
      <w:r w:rsidRPr="00671728">
        <w:t>Criteria</w:t>
      </w:r>
      <w:proofErr w:type="spellEnd"/>
      <w:r w:rsidRPr="00671728">
        <w:t xml:space="preserve"> </w:t>
      </w:r>
      <w:proofErr w:type="spellStart"/>
      <w:r w:rsidRPr="00671728">
        <w:t>according</w:t>
      </w:r>
      <w:proofErr w:type="spellEnd"/>
      <w:r w:rsidRPr="00671728">
        <w:t xml:space="preserve"> </w:t>
      </w:r>
      <w:proofErr w:type="spellStart"/>
      <w:r w:rsidRPr="00671728">
        <w:t>to</w:t>
      </w:r>
      <w:proofErr w:type="spellEnd"/>
      <w:r w:rsidRPr="00671728">
        <w:t xml:space="preserve"> </w:t>
      </w:r>
      <w:proofErr w:type="spellStart"/>
      <w:r w:rsidRPr="00671728">
        <w:t>the</w:t>
      </w:r>
      <w:proofErr w:type="spellEnd"/>
      <w:r w:rsidRPr="00671728">
        <w:t xml:space="preserve"> UNE 139803: 2012 Standard: </w:t>
      </w:r>
      <w:proofErr w:type="spellStart"/>
      <w:r w:rsidRPr="00671728">
        <w:t>Accessibility</w:t>
      </w:r>
      <w:proofErr w:type="spellEnd"/>
      <w:r w:rsidRPr="00671728">
        <w:t xml:space="preserve"> </w:t>
      </w:r>
      <w:proofErr w:type="spellStart"/>
      <w:r w:rsidRPr="00671728">
        <w:t>requirements</w:t>
      </w:r>
      <w:proofErr w:type="spellEnd"/>
      <w:r w:rsidRPr="00671728">
        <w:t xml:space="preserve"> </w:t>
      </w:r>
      <w:proofErr w:type="spellStart"/>
      <w:r w:rsidRPr="00671728">
        <w:t>for</w:t>
      </w:r>
      <w:proofErr w:type="spellEnd"/>
      <w:r w:rsidRPr="00671728">
        <w:t xml:space="preserve"> Web </w:t>
      </w:r>
      <w:proofErr w:type="spellStart"/>
      <w:r w:rsidRPr="00671728">
        <w:t>content</w:t>
      </w:r>
      <w:proofErr w:type="spellEnd"/>
      <w:r w:rsidRPr="00671728">
        <w:t xml:space="preserve">, </w:t>
      </w:r>
      <w:proofErr w:type="spellStart"/>
      <w:r w:rsidRPr="00671728">
        <w:t>equivalent</w:t>
      </w:r>
      <w:proofErr w:type="spellEnd"/>
      <w:r w:rsidRPr="00671728">
        <w:t xml:space="preserve"> </w:t>
      </w:r>
      <w:proofErr w:type="spellStart"/>
      <w:r w:rsidRPr="00671728">
        <w:t>to</w:t>
      </w:r>
      <w:proofErr w:type="spellEnd"/>
      <w:r w:rsidRPr="00671728">
        <w:t xml:space="preserve"> WCAG 2.0 at </w:t>
      </w:r>
      <w:proofErr w:type="spellStart"/>
      <w:r w:rsidRPr="00671728">
        <w:t>its</w:t>
      </w:r>
      <w:proofErr w:type="spellEnd"/>
      <w:r w:rsidRPr="00671728">
        <w:t xml:space="preserve"> A and AA </w:t>
      </w:r>
      <w:proofErr w:type="spellStart"/>
      <w:r w:rsidRPr="00671728">
        <w:t>levels</w:t>
      </w:r>
      <w:proofErr w:type="spellEnd"/>
      <w:r w:rsidRPr="00671728">
        <w:t xml:space="preserve">, </w:t>
      </w:r>
      <w:proofErr w:type="spellStart"/>
      <w:r w:rsidRPr="00671728">
        <w:t>it</w:t>
      </w:r>
      <w:proofErr w:type="spellEnd"/>
      <w:r w:rsidRPr="00671728">
        <w:t xml:space="preserve"> </w:t>
      </w:r>
      <w:proofErr w:type="spellStart"/>
      <w:r w:rsidRPr="00671728">
        <w:t>is</w:t>
      </w:r>
      <w:proofErr w:type="spellEnd"/>
      <w:r w:rsidRPr="00671728">
        <w:t xml:space="preserve"> </w:t>
      </w:r>
      <w:proofErr w:type="spellStart"/>
      <w:r w:rsidRPr="00671728">
        <w:t>evident</w:t>
      </w:r>
      <w:proofErr w:type="spellEnd"/>
      <w:r w:rsidRPr="00671728">
        <w:t xml:space="preserve"> </w:t>
      </w:r>
      <w:proofErr w:type="spellStart"/>
      <w:r w:rsidRPr="00671728">
        <w:t>that</w:t>
      </w:r>
      <w:proofErr w:type="spellEnd"/>
      <w:r w:rsidRPr="00671728">
        <w:t xml:space="preserve"> </w:t>
      </w:r>
      <w:proofErr w:type="spellStart"/>
      <w:r w:rsidRPr="00671728">
        <w:t>the</w:t>
      </w:r>
      <w:proofErr w:type="spellEnd"/>
      <w:r w:rsidRPr="00671728">
        <w:t xml:space="preserve"> </w:t>
      </w:r>
      <w:proofErr w:type="spellStart"/>
      <w:r w:rsidRPr="00671728">
        <w:t>evaluated</w:t>
      </w:r>
      <w:proofErr w:type="spellEnd"/>
      <w:r w:rsidRPr="00671728">
        <w:t xml:space="preserve"> </w:t>
      </w:r>
      <w:proofErr w:type="spellStart"/>
      <w:r w:rsidRPr="00671728">
        <w:t>websites</w:t>
      </w:r>
      <w:proofErr w:type="spellEnd"/>
      <w:r w:rsidRPr="00671728">
        <w:t xml:space="preserve"> of </w:t>
      </w:r>
      <w:proofErr w:type="spellStart"/>
      <w:r w:rsidRPr="00671728">
        <w:t>the</w:t>
      </w:r>
      <w:proofErr w:type="spellEnd"/>
      <w:r w:rsidRPr="00671728">
        <w:t xml:space="preserve"> </w:t>
      </w:r>
      <w:proofErr w:type="spellStart"/>
      <w:r w:rsidRPr="00671728">
        <w:t>Ministry</w:t>
      </w:r>
      <w:proofErr w:type="spellEnd"/>
      <w:r w:rsidRPr="00671728">
        <w:t xml:space="preserve"> of </w:t>
      </w:r>
      <w:proofErr w:type="spellStart"/>
      <w:r w:rsidRPr="00671728">
        <w:t>Education</w:t>
      </w:r>
      <w:proofErr w:type="spellEnd"/>
      <w:r w:rsidRPr="00671728">
        <w:t xml:space="preserve">, </w:t>
      </w:r>
      <w:proofErr w:type="spellStart"/>
      <w:r w:rsidRPr="00671728">
        <w:t>Culture</w:t>
      </w:r>
      <w:proofErr w:type="spellEnd"/>
      <w:r w:rsidRPr="00671728">
        <w:t xml:space="preserve"> and </w:t>
      </w:r>
      <w:proofErr w:type="spellStart"/>
      <w:r w:rsidRPr="00671728">
        <w:t>Sports</w:t>
      </w:r>
      <w:proofErr w:type="spellEnd"/>
      <w:r w:rsidRPr="00671728">
        <w:t xml:space="preserve"> and </w:t>
      </w:r>
      <w:proofErr w:type="spellStart"/>
      <w:r w:rsidRPr="00671728">
        <w:t>the</w:t>
      </w:r>
      <w:proofErr w:type="spellEnd"/>
      <w:r w:rsidRPr="00671728">
        <w:t xml:space="preserve"> </w:t>
      </w:r>
      <w:proofErr w:type="spellStart"/>
      <w:r w:rsidRPr="00671728">
        <w:t>Autonomous</w:t>
      </w:r>
      <w:proofErr w:type="spellEnd"/>
      <w:r w:rsidRPr="00671728">
        <w:t xml:space="preserve"> </w:t>
      </w:r>
      <w:proofErr w:type="spellStart"/>
      <w:r w:rsidRPr="00671728">
        <w:t>Community</w:t>
      </w:r>
      <w:proofErr w:type="spellEnd"/>
      <w:r w:rsidRPr="00671728">
        <w:t xml:space="preserve"> of Castilla y León, do </w:t>
      </w:r>
      <w:proofErr w:type="spellStart"/>
      <w:r w:rsidRPr="00671728">
        <w:t>not</w:t>
      </w:r>
      <w:proofErr w:type="spellEnd"/>
      <w:r w:rsidRPr="00671728">
        <w:t xml:space="preserve"> </w:t>
      </w:r>
      <w:proofErr w:type="spellStart"/>
      <w:r w:rsidRPr="00671728">
        <w:t>meet</w:t>
      </w:r>
      <w:proofErr w:type="spellEnd"/>
      <w:r w:rsidRPr="00671728">
        <w:t xml:space="preserve"> </w:t>
      </w:r>
      <w:proofErr w:type="spellStart"/>
      <w:r w:rsidRPr="00671728">
        <w:t>the</w:t>
      </w:r>
      <w:proofErr w:type="spellEnd"/>
      <w:r w:rsidRPr="00671728">
        <w:t xml:space="preserve"> </w:t>
      </w:r>
      <w:proofErr w:type="spellStart"/>
      <w:r w:rsidRPr="00671728">
        <w:t>requirements</w:t>
      </w:r>
      <w:proofErr w:type="spellEnd"/>
      <w:r w:rsidRPr="00671728">
        <w:t xml:space="preserve"> </w:t>
      </w:r>
      <w:proofErr w:type="spellStart"/>
      <w:r w:rsidRPr="00671728">
        <w:t>established</w:t>
      </w:r>
      <w:proofErr w:type="spellEnd"/>
      <w:r w:rsidRPr="00671728">
        <w:t xml:space="preserve"> in </w:t>
      </w:r>
      <w:proofErr w:type="spellStart"/>
      <w:r w:rsidRPr="00671728">
        <w:t>the</w:t>
      </w:r>
      <w:proofErr w:type="spellEnd"/>
      <w:r w:rsidRPr="00671728">
        <w:t xml:space="preserve"> </w:t>
      </w:r>
      <w:proofErr w:type="spellStart"/>
      <w:r w:rsidRPr="00671728">
        <w:t>legislation</w:t>
      </w:r>
      <w:proofErr w:type="spellEnd"/>
      <w:r w:rsidRPr="00671728">
        <w:t xml:space="preserve">, </w:t>
      </w:r>
      <w:proofErr w:type="spellStart"/>
      <w:r w:rsidRPr="00671728">
        <w:t>being</w:t>
      </w:r>
      <w:proofErr w:type="spellEnd"/>
      <w:r w:rsidRPr="00671728">
        <w:t xml:space="preserve"> </w:t>
      </w:r>
      <w:proofErr w:type="spellStart"/>
      <w:r w:rsidRPr="00671728">
        <w:t>inaccessible</w:t>
      </w:r>
      <w:proofErr w:type="spellEnd"/>
      <w:r w:rsidRPr="00671728">
        <w:t xml:space="preserve"> </w:t>
      </w:r>
      <w:proofErr w:type="spellStart"/>
      <w:r w:rsidRPr="00671728">
        <w:t>websites</w:t>
      </w:r>
      <w:proofErr w:type="spellEnd"/>
      <w:r w:rsidRPr="00671728">
        <w:t xml:space="preserve">. </w:t>
      </w:r>
      <w:proofErr w:type="spellStart"/>
      <w:r w:rsidRPr="00671728">
        <w:t>It</w:t>
      </w:r>
      <w:proofErr w:type="spellEnd"/>
      <w:r w:rsidRPr="00671728">
        <w:t xml:space="preserve"> </w:t>
      </w:r>
      <w:proofErr w:type="spellStart"/>
      <w:r w:rsidRPr="00671728">
        <w:t>is</w:t>
      </w:r>
      <w:proofErr w:type="spellEnd"/>
      <w:r w:rsidRPr="00671728">
        <w:t xml:space="preserve"> </w:t>
      </w:r>
      <w:proofErr w:type="spellStart"/>
      <w:r w:rsidRPr="00671728">
        <w:t>concluded</w:t>
      </w:r>
      <w:proofErr w:type="spellEnd"/>
      <w:r w:rsidRPr="00671728">
        <w:t xml:space="preserve"> </w:t>
      </w:r>
      <w:proofErr w:type="spellStart"/>
      <w:r w:rsidRPr="00671728">
        <w:t>that</w:t>
      </w:r>
      <w:proofErr w:type="spellEnd"/>
      <w:r w:rsidRPr="00671728">
        <w:t xml:space="preserve"> </w:t>
      </w:r>
      <w:proofErr w:type="spellStart"/>
      <w:r w:rsidRPr="00671728">
        <w:t>Spanish</w:t>
      </w:r>
      <w:proofErr w:type="spellEnd"/>
      <w:r w:rsidRPr="00671728">
        <w:t xml:space="preserve"> </w:t>
      </w:r>
      <w:proofErr w:type="spellStart"/>
      <w:r w:rsidRPr="00671728">
        <w:t>legislation</w:t>
      </w:r>
      <w:proofErr w:type="spellEnd"/>
      <w:r w:rsidRPr="00671728">
        <w:t xml:space="preserve"> has </w:t>
      </w:r>
      <w:proofErr w:type="spellStart"/>
      <w:r w:rsidRPr="00671728">
        <w:t>evolved</w:t>
      </w:r>
      <w:proofErr w:type="spellEnd"/>
      <w:r w:rsidRPr="00671728">
        <w:t xml:space="preserve"> in </w:t>
      </w:r>
      <w:proofErr w:type="spellStart"/>
      <w:r w:rsidRPr="00671728">
        <w:t>terms</w:t>
      </w:r>
      <w:proofErr w:type="spellEnd"/>
      <w:r w:rsidRPr="00671728">
        <w:t xml:space="preserve"> of web </w:t>
      </w:r>
      <w:proofErr w:type="spellStart"/>
      <w:r w:rsidRPr="00671728">
        <w:t>accessibility</w:t>
      </w:r>
      <w:proofErr w:type="spellEnd"/>
      <w:r w:rsidRPr="00671728">
        <w:t xml:space="preserve">, </w:t>
      </w:r>
      <w:proofErr w:type="spellStart"/>
      <w:r w:rsidRPr="00671728">
        <w:t>but</w:t>
      </w:r>
      <w:proofErr w:type="spellEnd"/>
      <w:r w:rsidRPr="00671728">
        <w:t xml:space="preserve"> </w:t>
      </w:r>
      <w:proofErr w:type="spellStart"/>
      <w:r w:rsidRPr="00671728">
        <w:t>permanent</w:t>
      </w:r>
      <w:proofErr w:type="spellEnd"/>
      <w:r w:rsidRPr="00671728">
        <w:t xml:space="preserve"> </w:t>
      </w:r>
      <w:proofErr w:type="spellStart"/>
      <w:r w:rsidRPr="00671728">
        <w:t>check</w:t>
      </w:r>
      <w:proofErr w:type="spellEnd"/>
      <w:r w:rsidRPr="00671728">
        <w:t xml:space="preserve">-ups </w:t>
      </w:r>
      <w:proofErr w:type="spellStart"/>
      <w:r w:rsidRPr="00671728">
        <w:t>must</w:t>
      </w:r>
      <w:proofErr w:type="spellEnd"/>
      <w:r w:rsidRPr="00671728">
        <w:t xml:space="preserve"> </w:t>
      </w:r>
      <w:proofErr w:type="spellStart"/>
      <w:r w:rsidRPr="00671728">
        <w:t>be</w:t>
      </w:r>
      <w:proofErr w:type="spellEnd"/>
      <w:r w:rsidRPr="00671728">
        <w:t xml:space="preserve"> done </w:t>
      </w:r>
      <w:proofErr w:type="spellStart"/>
      <w:r w:rsidRPr="00671728">
        <w:t>to</w:t>
      </w:r>
      <w:proofErr w:type="spellEnd"/>
      <w:r w:rsidRPr="00671728">
        <w:t xml:space="preserve"> </w:t>
      </w:r>
      <w:proofErr w:type="spellStart"/>
      <w:r w:rsidRPr="00671728">
        <w:t>solve</w:t>
      </w:r>
      <w:proofErr w:type="spellEnd"/>
      <w:r w:rsidRPr="00671728">
        <w:t xml:space="preserve"> </w:t>
      </w:r>
      <w:proofErr w:type="spellStart"/>
      <w:r w:rsidRPr="00671728">
        <w:t>problems</w:t>
      </w:r>
      <w:proofErr w:type="spellEnd"/>
      <w:r w:rsidRPr="00671728">
        <w:t xml:space="preserve"> and </w:t>
      </w:r>
      <w:proofErr w:type="spellStart"/>
      <w:r w:rsidRPr="00671728">
        <w:t>guarantee</w:t>
      </w:r>
      <w:proofErr w:type="spellEnd"/>
      <w:r w:rsidRPr="00671728">
        <w:t xml:space="preserve"> </w:t>
      </w:r>
      <w:proofErr w:type="spellStart"/>
      <w:r w:rsidRPr="00671728">
        <w:t>accessibility</w:t>
      </w:r>
      <w:proofErr w:type="spellEnd"/>
      <w:r w:rsidRPr="00671728">
        <w:t>.</w:t>
      </w:r>
    </w:p>
    <w:p w:rsidR="00671728" w:rsidRPr="00671728" w:rsidRDefault="00671728" w:rsidP="00671728">
      <w:pPr>
        <w:jc w:val="both"/>
      </w:pPr>
    </w:p>
    <w:p w:rsidR="00671728" w:rsidRPr="00671728" w:rsidRDefault="00671728" w:rsidP="00671728">
      <w:pPr>
        <w:jc w:val="both"/>
      </w:pPr>
      <w:proofErr w:type="spellStart"/>
      <w:r w:rsidRPr="00671728">
        <w:t>Keywords</w:t>
      </w:r>
      <w:proofErr w:type="spellEnd"/>
      <w:r w:rsidRPr="00671728">
        <w:t xml:space="preserve">: </w:t>
      </w:r>
      <w:proofErr w:type="spellStart"/>
      <w:r w:rsidRPr="00671728">
        <w:t>accessibility</w:t>
      </w:r>
      <w:proofErr w:type="spellEnd"/>
      <w:r w:rsidRPr="00671728">
        <w:t xml:space="preserve"> </w:t>
      </w:r>
      <w:proofErr w:type="spellStart"/>
      <w:r w:rsidRPr="00671728">
        <w:t>to</w:t>
      </w:r>
      <w:proofErr w:type="spellEnd"/>
      <w:r w:rsidRPr="00671728">
        <w:t xml:space="preserve"> </w:t>
      </w:r>
      <w:proofErr w:type="spellStart"/>
      <w:r w:rsidRPr="00671728">
        <w:t>information</w:t>
      </w:r>
      <w:proofErr w:type="spellEnd"/>
      <w:r w:rsidRPr="00671728">
        <w:t xml:space="preserve">, </w:t>
      </w:r>
      <w:proofErr w:type="spellStart"/>
      <w:r w:rsidRPr="00671728">
        <w:t>legislation</w:t>
      </w:r>
      <w:proofErr w:type="spellEnd"/>
      <w:r w:rsidRPr="00671728">
        <w:t xml:space="preserve">, </w:t>
      </w:r>
      <w:proofErr w:type="spellStart"/>
      <w:r w:rsidRPr="00671728">
        <w:t>evaluation</w:t>
      </w:r>
      <w:proofErr w:type="spellEnd"/>
      <w:r w:rsidRPr="00671728">
        <w:t xml:space="preserve">, Internet, </w:t>
      </w:r>
      <w:proofErr w:type="spellStart"/>
      <w:r w:rsidRPr="00671728">
        <w:t>Spain</w:t>
      </w:r>
      <w:proofErr w:type="spellEnd"/>
      <w:r w:rsidRPr="00671728">
        <w:t>.</w:t>
      </w:r>
    </w:p>
    <w:p w:rsidR="00D81E11" w:rsidRPr="00D81E11" w:rsidRDefault="00D81E11" w:rsidP="00D81E11">
      <w:pPr>
        <w:rPr>
          <w:b/>
          <w:sz w:val="28"/>
        </w:rPr>
      </w:pPr>
      <w:r>
        <w:rPr>
          <w:b/>
          <w:sz w:val="28"/>
        </w:rPr>
        <w:lastRenderedPageBreak/>
        <w:t>Introducción</w:t>
      </w:r>
    </w:p>
    <w:p w:rsidR="00260270" w:rsidRDefault="00DC6897" w:rsidP="00A26049">
      <w:pPr>
        <w:jc w:val="both"/>
      </w:pPr>
      <w:r>
        <w:t xml:space="preserve">Nos encontramos </w:t>
      </w:r>
      <w:r w:rsidR="009D6B2E">
        <w:t>inmersos en la denominada sociedad de la i</w:t>
      </w:r>
      <w:r w:rsidR="00260270">
        <w:t>nformación donde lo habitual es realizar muchas activi</w:t>
      </w:r>
      <w:r w:rsidR="00AE6249">
        <w:t>dades usando Internet tanto en rol de</w:t>
      </w:r>
      <w:r w:rsidR="00260270">
        <w:t xml:space="preserve"> usuarios como responsables de servicios </w:t>
      </w:r>
      <w:r w:rsidR="002E6633">
        <w:t>ofertados</w:t>
      </w:r>
      <w:r w:rsidR="00260270">
        <w:t xml:space="preserve">. Lo regular es realizar actividades </w:t>
      </w:r>
      <w:r>
        <w:t>como</w:t>
      </w:r>
      <w:r w:rsidR="00260270">
        <w:t xml:space="preserve"> búsqueda de t</w:t>
      </w:r>
      <w:r>
        <w:t>emas de interés, juegos</w:t>
      </w:r>
      <w:r w:rsidR="00260270">
        <w:t xml:space="preserve">, comunicación sincrónica y asincrónica, movimientos bancarios, compras en línea, organizar vacaciones y muchas actividades más. </w:t>
      </w:r>
      <w:r>
        <w:t>Lamentablemente estos beneficios de acceso a la información no llegan a todos y todas como la legislación lo establece, aún existen múltiples barreras de accesibilidad</w:t>
      </w:r>
      <w:r w:rsidR="00AE6249">
        <w:t xml:space="preserve"> en la web</w:t>
      </w:r>
      <w:r>
        <w:t>, las cuales</w:t>
      </w:r>
      <w:r w:rsidR="00AE6249">
        <w:t xml:space="preserve"> de</w:t>
      </w:r>
      <w:r w:rsidR="00407342">
        <w:t>ben</w:t>
      </w:r>
      <w:r w:rsidR="00AE6249">
        <w:t xml:space="preserve"> ser subsanadas</w:t>
      </w:r>
      <w:r w:rsidR="00256726">
        <w:t xml:space="preserve"> ya que</w:t>
      </w:r>
      <w:r>
        <w:t xml:space="preserve"> no solo benefician a las personas discapaci</w:t>
      </w:r>
      <w:r w:rsidR="00AE6249">
        <w:t>tadas sino a toda la población. Por lo anterior e</w:t>
      </w:r>
      <w:r w:rsidR="00260270">
        <w:t>s imp</w:t>
      </w:r>
      <w:r w:rsidR="00AE6249">
        <w:t>erativo</w:t>
      </w:r>
      <w:r w:rsidR="00260270">
        <w:t xml:space="preserve"> generar sitios web ac</w:t>
      </w:r>
      <w:r w:rsidR="002E6633">
        <w:t>cesibles</w:t>
      </w:r>
      <w:r w:rsidR="00260270">
        <w:t>, ya que el beneficio es mutuo, considerando el acceso a la información y el lograr mayor dif</w:t>
      </w:r>
      <w:r>
        <w:t>usión de un servicio o producto, además</w:t>
      </w:r>
      <w:r w:rsidR="00AE6249">
        <w:t xml:space="preserve"> de disminuir la brecha digital entre distintos segmentos de la población usuaria.</w:t>
      </w:r>
    </w:p>
    <w:p w:rsidR="00A710EF" w:rsidRDefault="00A710EF" w:rsidP="00A26049">
      <w:pPr>
        <w:jc w:val="both"/>
      </w:pPr>
      <w:r w:rsidRPr="00A710EF">
        <w:t xml:space="preserve">Alicia R. </w:t>
      </w:r>
      <w:proofErr w:type="spellStart"/>
      <w:r w:rsidRPr="00A710EF">
        <w:t>Wigdorovitz</w:t>
      </w:r>
      <w:proofErr w:type="spellEnd"/>
      <w:r w:rsidRPr="00A710EF">
        <w:t xml:space="preserve"> realiza un análisis de tres conceptos relevantes a nivel social, estos son inclusión, exclusión y marginalidad, siendo el primero un concepto muy recurrente a nivel de políticas públicas, que además ha sufrido mutaciones en su definición por el contexto de aplicación. El concepto exclusión se asocia más con desigualdad y marginalidad, mencionando que uno de los grupos marginados son las personas de la tercera edad, elemento a considerar cuando hablamos de la sociedad actual o sociedad de la información</w:t>
      </w:r>
      <w:r>
        <w:t xml:space="preserve"> </w:t>
      </w:r>
      <w:r w:rsidR="00F135AD">
        <w:fldChar w:fldCharType="begin" w:fldLock="1"/>
      </w:r>
      <w:r w:rsidR="00C527E3">
        <w:instrText>ADDIN CSL_CITATION { "citationItems" : [ { "id" : "ITEM-1", "itemData" : { "abstract" : "RESUMEN El prop\u00f3sito de este trabajo es explorar en diferentes perspectivas te\u00f3ricas el concepto de inclusi\u00f3n educativa y sus implicaciones en raz\u00f3n de que es un concepto que a menudo tiene una funci\u00f3n importante en los discursos enunciativos de pol\u00edticas educativas. Su uso frecuente muestra que es posible considerar a este concepto como un aut\u00e9ntico lema. En consecuencia, procuramos hacer expl\u00edcitos los problemas que plantea establecer su significado, que est\u00e1 relacionado con conceptos sociol\u00f3gicos cl\u00e1sicos como exclusi\u00f3n, marginalidad, diferencia, integraci\u00f3n y equidad. Esta tarea requiere dilucidar supuestos t\u00e1citos heredados de los debates acerca de la naturaleza de las diferencias sociales y de las intenciones de las acciones sociales. ABSTRACT The purpose of this paper is to explore the concept of educational inclusion and its implications in different theoretical perspectives because it often has a relevant function in the declarative discourses of policy makers. Its frequent use shows that it is possible to consider this concept as an authentic slogan. Therefore, as its meaning is related to classic sociological concepts such as \" exclusion \" , \" marginality \" , \" difference \" , \" integration \" , and \" equity \" , we attempt to make the problems of establishing such a meaning explicit. This task requires elucidating tacit assumptions, inherited from debates about the nature of social differences and the intentions of social action.", "author" : [ { "dropping-particle" : "", "family" : "Wigdorovitz De Camilloni", "given" : "Alicia R", "non-dropping-particle" : "", "parse-names" : false, "suffix" : "" } ], "container-title" : "Pol\u00edticas Educativas\u2013PolEd.", "id" : "ITEM-1", "issue" : "1", "issued" : { "date-parts" : [ [ "2008" ] ] }, "page" : "1-12", "title" : "El concepto de inclusi\u00f3n educativa: definici\u00f3n y redefiniciones", "type" : "article-journal", "volume" : "2" }, "uris" : [ "http://www.mendeley.com/documents/?uuid=1e6ca072-fc50-4b78-80e4-d4bdff135119" ] } ], "mendeley" : { "formattedCitation" : "(Wigdorovitz De Camilloni, 2008)", "plainTextFormattedCitation" : "(Wigdorovitz De Camilloni, 2008)", "previouslyFormattedCitation" : "(Wigdorovitz De Camilloni, 2008)" }, "properties" : {  }, "schema" : "https://github.com/citation-style-language/schema/raw/master/csl-citation.json" }</w:instrText>
      </w:r>
      <w:r w:rsidR="00F135AD">
        <w:fldChar w:fldCharType="separate"/>
      </w:r>
      <w:r w:rsidR="00C527E3" w:rsidRPr="00C527E3">
        <w:rPr>
          <w:noProof/>
        </w:rPr>
        <w:t>(Wigdorovitz De Camilloni, 2008)</w:t>
      </w:r>
      <w:r w:rsidR="00F135AD">
        <w:fldChar w:fldCharType="end"/>
      </w:r>
    </w:p>
    <w:p w:rsidR="00825072" w:rsidRDefault="00825072" w:rsidP="00A26049">
      <w:pPr>
        <w:jc w:val="both"/>
      </w:pPr>
      <w:r>
        <w:t>El uso de las tecnologías es un derecho de todas las personas</w:t>
      </w:r>
      <w:r w:rsidR="005F5FAE">
        <w:t>, lo cual está respaldado a nivel constitucional</w:t>
      </w:r>
      <w:r>
        <w:t>, además para las personas con discapacidad es una oportunidad de integración que beneficia su autonomía, proceso que sin duda aumenta su calidad de vida y autoestima.</w:t>
      </w:r>
    </w:p>
    <w:p w:rsidR="003B4276" w:rsidRDefault="00825072" w:rsidP="00A26049">
      <w:pPr>
        <w:jc w:val="both"/>
      </w:pPr>
      <w:r>
        <w:t xml:space="preserve">La discapacidad es una realidad a nivel global, cada país regula su participación, beneficios y </w:t>
      </w:r>
      <w:r w:rsidR="00E74E0C">
        <w:t>oportunidades de manera diversa. En España e</w:t>
      </w:r>
      <w:r w:rsidR="009D6B2E">
        <w:t>l instituto n</w:t>
      </w:r>
      <w:r>
        <w:t xml:space="preserve">acional de </w:t>
      </w:r>
      <w:r w:rsidR="009D6B2E">
        <w:t>e</w:t>
      </w:r>
      <w:r>
        <w:t>stadística</w:t>
      </w:r>
      <w:r w:rsidR="009D6B2E">
        <w:t xml:space="preserve"> (INE)</w:t>
      </w:r>
      <w:r w:rsidR="00FD25FF">
        <w:t xml:space="preserve"> menciona que s</w:t>
      </w:r>
      <w:r w:rsidR="00FD25FF" w:rsidRPr="00FD25FF">
        <w:t>e han realizado tres macro-encuestas: la </w:t>
      </w:r>
      <w:r w:rsidR="009D6B2E">
        <w:rPr>
          <w:bCs/>
        </w:rPr>
        <w:t>e</w:t>
      </w:r>
      <w:r w:rsidR="00FD25FF" w:rsidRPr="00FD25FF">
        <w:rPr>
          <w:bCs/>
        </w:rPr>
        <w:t>ncuesta sobre discapacidades, deficiencias y minusvalías</w:t>
      </w:r>
      <w:r w:rsidR="00FD25FF" w:rsidRPr="00FD25FF">
        <w:t> en 1986, la </w:t>
      </w:r>
      <w:r w:rsidR="009D6B2E">
        <w:rPr>
          <w:bCs/>
        </w:rPr>
        <w:t>e</w:t>
      </w:r>
      <w:r w:rsidR="00FD25FF" w:rsidRPr="00FD25FF">
        <w:rPr>
          <w:bCs/>
        </w:rPr>
        <w:t>ncuesta sobre discapacidades, deficiencias y estado de salud</w:t>
      </w:r>
      <w:r w:rsidR="00FD25FF" w:rsidRPr="00FD25FF">
        <w:t> en 1999 y la </w:t>
      </w:r>
      <w:r w:rsidR="009D6B2E">
        <w:rPr>
          <w:bCs/>
        </w:rPr>
        <w:t>e</w:t>
      </w:r>
      <w:r w:rsidR="00FD25FF" w:rsidRPr="00FD25FF">
        <w:rPr>
          <w:bCs/>
        </w:rPr>
        <w:t>ncuesta de discapacidad, autonomía personal y situaciones de dependencia</w:t>
      </w:r>
      <w:r w:rsidR="00FD25FF" w:rsidRPr="00FD25FF">
        <w:t> en 2008</w:t>
      </w:r>
      <w:r w:rsidR="00FD25FF">
        <w:t xml:space="preserve"> </w:t>
      </w:r>
      <w:r>
        <w:t>realizada el año 2007</w:t>
      </w:r>
      <w:r w:rsidR="00E74E0C">
        <w:t>, publicada el año 2008</w:t>
      </w:r>
      <w:r w:rsidR="00FD25FF">
        <w:t xml:space="preserve"> </w:t>
      </w:r>
      <w:r w:rsidR="00FD25FF" w:rsidRPr="006538AF">
        <w:rPr>
          <w:rStyle w:val="Refdenotaalpie"/>
        </w:rPr>
        <w:footnoteReference w:id="1"/>
      </w:r>
      <w:r>
        <w:t xml:space="preserve">, </w:t>
      </w:r>
      <w:r w:rsidRPr="00E74E0C">
        <w:rPr>
          <w:bCs/>
        </w:rPr>
        <w:t>último censo oficial sobre personas con discapacidad en España</w:t>
      </w:r>
      <w:r w:rsidRPr="00E74E0C">
        <w:t xml:space="preserve"> estima que hay </w:t>
      </w:r>
      <w:r w:rsidRPr="00E74E0C">
        <w:rPr>
          <w:bCs/>
        </w:rPr>
        <w:t>3,84 millones</w:t>
      </w:r>
      <w:r>
        <w:t xml:space="preserve"> de personas en esta situación</w:t>
      </w:r>
      <w:r w:rsidR="003B4276">
        <w:t xml:space="preserve"> </w:t>
      </w:r>
      <w:r w:rsidR="00F135AD">
        <w:fldChar w:fldCharType="begin" w:fldLock="1"/>
      </w:r>
      <w:r w:rsidR="00C527E3">
        <w:instrText>ADDIN CSL_CITATION { "citationItems" : [ { "id" : "ITEM-1", "itemData" : { "author" : [ { "dropping-particle" : "", "family" : "INE", "given" : "", "non-dropping-particle" : "", "parse-names" : false, "suffix" : "" } ], "container-title" : "Encuesta sobre discapacidades, autonom\u00eda personal y situaciones de dependencia", "id" : "ITEM-1", "issued" : { "date-parts" : [ [ "2008" ] ] }, "title" : "Instituto Nacional de Estad\u00edsticas. Encuesta sobre discapacidades, autonom\u00eda personal y situaciones de dependencia", "type" : "webpage" }, "uris" : [ "http://www.mendeley.com/documents/?uuid=3666382f-6e25-3842-8eb9-2e307e2b4ff5", "http://www.mendeley.com/documents/?uuid=96d6e127-96be-4a3f-93ae-24fdd917db65" ] } ], "mendeley" : { "formattedCitation" : "(INE, 2008)", "plainTextFormattedCitation" : "(INE, 2008)", "previouslyFormattedCitation" : "(INE, 2008)" }, "properties" : {  }, "schema" : "https://github.com/citation-style-language/schema/raw/master/csl-citation.json" }</w:instrText>
      </w:r>
      <w:r w:rsidR="00F135AD">
        <w:fldChar w:fldCharType="separate"/>
      </w:r>
      <w:r w:rsidR="00E74E0C" w:rsidRPr="00E74E0C">
        <w:rPr>
          <w:noProof/>
        </w:rPr>
        <w:t>(INE, 2008)</w:t>
      </w:r>
      <w:r w:rsidR="00F135AD">
        <w:fldChar w:fldCharType="end"/>
      </w:r>
      <w:r w:rsidR="003B4276">
        <w:t>. Junto a esta estadística hay que tener en cuenta una realidad evidente</w:t>
      </w:r>
      <w:r w:rsidR="002E6633">
        <w:t xml:space="preserve"> y alarmante</w:t>
      </w:r>
      <w:r w:rsidR="003B4276">
        <w:t xml:space="preserve"> en países desarrollados que es el envejecimiento poblacional, el cual se relaciona en forma directa con discapacidad por considerar las afecciones propias de la edad, es así como el Instituto Nacional de Estadística español señala, en su Nota de Prensa “Proyección de la poblac</w:t>
      </w:r>
      <w:r w:rsidR="00A26049">
        <w:t>ión de España 2014 – 2064” que e</w:t>
      </w:r>
      <w:r w:rsidR="003B4276">
        <w:t>l porcentaje de población mayor de 65 años, que actualmente se sitúa en el 18,2% pasaría a ser el 24,</w:t>
      </w:r>
      <w:r w:rsidR="009D6B2E">
        <w:t>9% en 2029 y del 38,7% en 2064, e</w:t>
      </w:r>
      <w:r w:rsidR="003B4276">
        <w:t xml:space="preserve">sto significa un aumento considerable en la esperanza de vida tanto de hombres como de mujeres </w:t>
      </w:r>
      <w:r w:rsidR="00F135AD">
        <w:fldChar w:fldCharType="begin" w:fldLock="1"/>
      </w:r>
      <w:r w:rsidR="00C527E3">
        <w:instrText>ADDIN CSL_CITATION { "citationItems" : [ { "id" : "ITEM-1", "itemData" : { "DOI" : "10.1017/CBO9781107415324.004", "ISBN" : "9788578110796", "ISSN" : "1098-6596", "PMID" : "25246403", "abstract" : "En las \u00faltimas d\u00e9cadas las Proyecciones de Poblaci\u00f3n se han consolidado como un ejercicio que permite revisar las tendencias demogr\u00e1ficas recientes y que facilita a los usuarios unos resultados sobre las principales magnitudes demogr\u00e1ficas en el futuro inmediato. Dichas proyecciones se obtienen estableciendo como punto de partida un escenario de hip\u00f3tesis en tres \u00e1mbitos: mortalidad, fecundidad y migraciones. La validez de los resultados est\u00e1 condicionada, l\u00f3gicamente, a que en el futuro se confirmen emp\u00edricamente dichas hip\u00f3tesis. Con el fin de adaptarse a la cambiante coyuntura demogr\u00e1fica espa\u00f1ola y responder a las demandas de los usuarios, el INE realizar\u00e1 a partir de ahora anualmente unas Proyecciones de Poblaci\u00f3n a 10 a\u00f1os vista (denominadas a Corto Plazo), que complementar\u00e1n las tradicionales proyecciones a Largo Plazo (60 a\u00f1os) que se actualizar\u00e1n cada tres a\u00f1os.", "author" : [ { "dropping-particle" : "", "family" : "INE", "given" : "", "non-dropping-particle" : "", "parse-names" : false, "suffix" : "" } ], "container-title" : "Instituto Nacional de Estad\u00edstica (INE)", "id" : "ITEM-1", "issued" : { "date-parts" : [ [ "2014" ] ] }, "page" : "1-9", "title" : "Proyecci\u00f3n de la Poblaci\u00f3n de Espa\u00f1a 2014-2064: Notas de prensa", "type" : "article-journal" }, "uris" : [ "http://www.mendeley.com/documents/?uuid=5916d8d7-ef76-446a-ab4b-1b8de1e81359", "http://www.mendeley.com/documents/?uuid=87e61377-9f12-478a-a17e-b2162b990ac0" ] } ], "mendeley" : { "formattedCitation" : "(INE, 2014)", "plainTextFormattedCitation" : "(INE, 2014)", "previouslyFormattedCitation" : "(INE, 2014)" }, "properties" : {  }, "schema" : "https://github.com/citation-style-language/schema/raw/master/csl-citation.json" }</w:instrText>
      </w:r>
      <w:r w:rsidR="00F135AD">
        <w:fldChar w:fldCharType="separate"/>
      </w:r>
      <w:r w:rsidR="003B4276" w:rsidRPr="003B4276">
        <w:rPr>
          <w:noProof/>
        </w:rPr>
        <w:t>(INE, 2014)</w:t>
      </w:r>
      <w:r w:rsidR="00F135AD">
        <w:fldChar w:fldCharType="end"/>
      </w:r>
      <w:r w:rsidR="003B4276">
        <w:t>.</w:t>
      </w:r>
    </w:p>
    <w:p w:rsidR="00C527E3" w:rsidRPr="00C527E3" w:rsidRDefault="00C527E3" w:rsidP="00C527E3">
      <w:pPr>
        <w:jc w:val="both"/>
      </w:pPr>
      <w:r w:rsidRPr="00C527E3">
        <w:t xml:space="preserve">Al hablar de personas mayores como colectivo marginado existen antecedentes relevantes de considerar y que se relacionan con la discapacidad, ya que esta aumenta con el pasar de los años. Es así como Bloom, D. E., </w:t>
      </w:r>
      <w:proofErr w:type="spellStart"/>
      <w:r w:rsidRPr="00C527E3">
        <w:t>Canning</w:t>
      </w:r>
      <w:proofErr w:type="spellEnd"/>
      <w:r w:rsidRPr="00C527E3">
        <w:t xml:space="preserve">, D., &amp; </w:t>
      </w:r>
      <w:proofErr w:type="spellStart"/>
      <w:r w:rsidRPr="00C527E3">
        <w:t>Lubet</w:t>
      </w:r>
      <w:proofErr w:type="spellEnd"/>
      <w:r w:rsidRPr="00C527E3">
        <w:t>, A. señalan que:</w:t>
      </w:r>
    </w:p>
    <w:p w:rsidR="00C527E3" w:rsidRPr="00C527E3" w:rsidRDefault="00C527E3" w:rsidP="00C527E3">
      <w:pPr>
        <w:spacing w:line="240" w:lineRule="auto"/>
        <w:ind w:left="1416"/>
        <w:jc w:val="both"/>
        <w:rPr>
          <w:i/>
          <w:sz w:val="28"/>
          <w:szCs w:val="28"/>
        </w:rPr>
      </w:pPr>
      <w:r w:rsidRPr="00C527E3">
        <w:rPr>
          <w:i/>
        </w:rPr>
        <w:lastRenderedPageBreak/>
        <w:t>La población mundial envejece rápidamente y la proporción de adultos de más edad nunca ha sido tan alta en el planeta. En 2015, se estimó que el 8,3% de la población mundial (más de 600 millones de personas) tenía una edad de 65 años o más y que alrededor del 1,7% (más de 125 millones) superaba los 80. Se prevé que en 2050 estas proporciones hayan aumentado drásticamente; para ese año un 15,8% de la población mundial (1.500 millones de personas) tendrá 65 años o más y un 4,3% (420 millones), 80 o más. Existen tres factores principales que impulsan esta transición: la disminución de la fecundidad, el aumento de la longevidad y el envejecimiento de amplios grupos de población….en 2050, España, un 18,9% de la población tendrá 65 años o más y un 6% 80 años o más (es el decimotercer país más envejecido del mundo), se situará justo tras Japón, donde el 36,3% de la población tiene 65 años o más y un 14,1%, 80 o más</w:t>
      </w:r>
      <w:r w:rsidRPr="00C527E3">
        <w:rPr>
          <w:i/>
          <w:noProof/>
        </w:rPr>
        <w:t xml:space="preserve">. </w:t>
      </w:r>
      <w:r w:rsidR="00F135AD" w:rsidRPr="00C527E3">
        <w:rPr>
          <w:i/>
          <w:noProof/>
        </w:rPr>
        <w:fldChar w:fldCharType="begin" w:fldLock="1"/>
      </w:r>
      <w:r w:rsidRPr="00C527E3">
        <w:rPr>
          <w:i/>
          <w:noProof/>
        </w:rPr>
        <w:instrText>ADDIN CSL_CITATION { "citationItems" : [ { "id" : "ITEM-1", "itemData" : { "URL" : "https://dialnet.unirioja.es/servlet/articulo?codigo=6351621", "author" : [ { "dropping-particle" : "", "family" : "Bloom, D. E., Canning, D., &amp; Lubet", "given" : "A.", "non-dropping-particle" : "", "parse-names" : false, "suffix" : "" } ], "container-title" : "Pol\u00edtica exterior, 32(182)", "id" : "ITEM-1", "issued" : { "date-parts" : [ [ "2018" ] ] }, "page" : "78-87", "title" : "La demograf\u00eda no es el destino", "type" : "webpage" }, "uris" : [ "http://www.mendeley.com/documents/?uuid=5a49b25a-1259-4336-9a57-df1b1a580676", "http://www.mendeley.com/documents/?uuid=d906c861-0843-423c-a54c-584f0cd5c037" ] } ], "mendeley" : { "formattedCitation" : "(Bloom, D. E., Canning, D., &amp; Lubet, 2018)", "plainTextFormattedCitation" : "(Bloom, D. E., Canning, D., &amp; Lubet, 2018)", "previouslyFormattedCitation" : "(Bloom, D. E., Canning, D., &amp; Lubet, 2018)" }, "properties" : {  }, "schema" : "https://github.com/citation-style-language/schema/raw/master/csl-citation.json" }</w:instrText>
      </w:r>
      <w:r w:rsidR="00F135AD" w:rsidRPr="00C527E3">
        <w:rPr>
          <w:i/>
          <w:noProof/>
        </w:rPr>
        <w:fldChar w:fldCharType="separate"/>
      </w:r>
      <w:r w:rsidRPr="00C527E3">
        <w:rPr>
          <w:i/>
          <w:noProof/>
        </w:rPr>
        <w:t>(Bloom, D. E., Canning, D., &amp; Lubet, 2018)</w:t>
      </w:r>
      <w:r w:rsidR="00F135AD" w:rsidRPr="00C527E3">
        <w:rPr>
          <w:i/>
          <w:noProof/>
        </w:rPr>
        <w:fldChar w:fldCharType="end"/>
      </w:r>
    </w:p>
    <w:p w:rsidR="00E74E0C" w:rsidRDefault="002E6633" w:rsidP="00825072">
      <w:r>
        <w:t>El acceso a Internet es tan diverso como las personas, sus intereses, necesidades, contextos de uso, tecnología y otros fac</w:t>
      </w:r>
      <w:r w:rsidR="003B77E9">
        <w:t>tores, podemos mencionar algunas variables que afectan a la población</w:t>
      </w:r>
      <w:r>
        <w:t>:</w:t>
      </w:r>
    </w:p>
    <w:p w:rsidR="002E6633" w:rsidRDefault="002E6633" w:rsidP="002E6633">
      <w:pPr>
        <w:pStyle w:val="Prrafodelista"/>
        <w:numPr>
          <w:ilvl w:val="0"/>
          <w:numId w:val="1"/>
        </w:numPr>
      </w:pPr>
      <w:r>
        <w:t>Deficiencias visuales, auditivas, motoras o cognitivas.</w:t>
      </w:r>
    </w:p>
    <w:p w:rsidR="002E6633" w:rsidRDefault="002E6633" w:rsidP="002E6633">
      <w:pPr>
        <w:pStyle w:val="Prrafodelista"/>
        <w:numPr>
          <w:ilvl w:val="0"/>
          <w:numId w:val="1"/>
        </w:numPr>
      </w:pPr>
      <w:r>
        <w:t>Conexión lenta a Internet</w:t>
      </w:r>
    </w:p>
    <w:p w:rsidR="002E6633" w:rsidRDefault="002E6633" w:rsidP="002E6633">
      <w:pPr>
        <w:pStyle w:val="Prrafodelista"/>
        <w:numPr>
          <w:ilvl w:val="0"/>
          <w:numId w:val="1"/>
        </w:numPr>
      </w:pPr>
      <w:r>
        <w:t>Tecnología obsoleta como navegadores o equipo</w:t>
      </w:r>
      <w:r w:rsidR="00A26049">
        <w:t>s</w:t>
      </w:r>
      <w:r>
        <w:t xml:space="preserve"> antiguo</w:t>
      </w:r>
      <w:r w:rsidR="00A26049">
        <w:t>s</w:t>
      </w:r>
    </w:p>
    <w:p w:rsidR="002E6633" w:rsidRDefault="002E6633" w:rsidP="002E6633">
      <w:pPr>
        <w:pStyle w:val="Prrafodelista"/>
        <w:numPr>
          <w:ilvl w:val="0"/>
          <w:numId w:val="1"/>
        </w:numPr>
      </w:pPr>
      <w:r>
        <w:t>No disponer de tarjeta de sonido o video para acceder a contenido audiovisual</w:t>
      </w:r>
    </w:p>
    <w:p w:rsidR="001A4201" w:rsidRDefault="002E6633" w:rsidP="001A4201">
      <w:pPr>
        <w:pStyle w:val="Prrafodelista"/>
        <w:numPr>
          <w:ilvl w:val="0"/>
          <w:numId w:val="1"/>
        </w:numPr>
      </w:pPr>
      <w:r>
        <w:t>No manejan el idioma del sitio</w:t>
      </w:r>
    </w:p>
    <w:p w:rsidR="001A4201" w:rsidRDefault="001A4201" w:rsidP="001A4201">
      <w:pPr>
        <w:pStyle w:val="Prrafodelista"/>
        <w:numPr>
          <w:ilvl w:val="0"/>
          <w:numId w:val="1"/>
        </w:numPr>
      </w:pPr>
      <w:r>
        <w:t>Otros.</w:t>
      </w:r>
    </w:p>
    <w:p w:rsidR="002E6633" w:rsidRDefault="00831174" w:rsidP="00A26049">
      <w:pPr>
        <w:jc w:val="both"/>
      </w:pPr>
      <w:r>
        <w:t xml:space="preserve">Estos factores se deben considerar al diseñar un sitio web, conceptos como diversidad funcional, </w:t>
      </w:r>
      <w:r w:rsidR="00A26049">
        <w:t>diseño u</w:t>
      </w:r>
      <w:r>
        <w:t>niversal</w:t>
      </w:r>
      <w:r w:rsidR="00A26049">
        <w:t xml:space="preserve"> o diseño para todos</w:t>
      </w:r>
      <w:r>
        <w:t xml:space="preserve">, usabilidad, accesibilidad, deberían ser de manejo regular por parte de diseñadores web y por instituciones encargadas de velar </w:t>
      </w:r>
      <w:r w:rsidR="00C74A94">
        <w:t>por el cumplimiento de la legislación vigente que ampara el derecho al acceso a la información.</w:t>
      </w:r>
    </w:p>
    <w:p w:rsidR="00C527E3" w:rsidRDefault="00C527E3">
      <w:pPr>
        <w:rPr>
          <w:b/>
        </w:rPr>
      </w:pPr>
      <w:r>
        <w:rPr>
          <w:b/>
        </w:rPr>
        <w:br w:type="page"/>
      </w:r>
    </w:p>
    <w:p w:rsidR="003B77E9" w:rsidRPr="00D81E11" w:rsidRDefault="00137E1A" w:rsidP="003B77E9">
      <w:pPr>
        <w:rPr>
          <w:b/>
        </w:rPr>
      </w:pPr>
      <w:r>
        <w:rPr>
          <w:b/>
        </w:rPr>
        <w:lastRenderedPageBreak/>
        <w:t xml:space="preserve">Accesibilidad </w:t>
      </w:r>
      <w:r w:rsidR="003B77E9" w:rsidRPr="00D81E11">
        <w:rPr>
          <w:b/>
        </w:rPr>
        <w:t>web</w:t>
      </w:r>
      <w:r w:rsidR="006538AF">
        <w:rPr>
          <w:b/>
        </w:rPr>
        <w:t xml:space="preserve"> </w:t>
      </w:r>
    </w:p>
    <w:p w:rsidR="006538AF" w:rsidRPr="006538AF" w:rsidRDefault="006538AF" w:rsidP="006538AF">
      <w:pPr>
        <w:spacing w:line="240" w:lineRule="auto"/>
        <w:jc w:val="both"/>
        <w:rPr>
          <w:szCs w:val="28"/>
        </w:rPr>
      </w:pPr>
      <w:r w:rsidRPr="006538AF">
        <w:rPr>
          <w:szCs w:val="28"/>
        </w:rPr>
        <w:t xml:space="preserve">Hassan y Martín en su artículo denominado </w:t>
      </w:r>
      <w:r w:rsidRPr="006538AF">
        <w:rPr>
          <w:i/>
          <w:szCs w:val="28"/>
        </w:rPr>
        <w:t>Qué es la accesibilidad</w:t>
      </w:r>
      <w:r w:rsidRPr="006538AF">
        <w:rPr>
          <w:szCs w:val="28"/>
        </w:rPr>
        <w:t xml:space="preserve"> web la definen como la </w:t>
      </w:r>
      <w:r w:rsidRPr="006538AF">
        <w:rPr>
          <w:bCs/>
          <w:szCs w:val="28"/>
        </w:rPr>
        <w:t>posibilidad de que un producto o servicio web pueda ser accedido y usado por el mayor número posible de personas, indiferentemente de las limitaciones propias del individuo o de las derivadas del contexto de uso</w:t>
      </w:r>
      <w:r w:rsidRPr="006538AF">
        <w:rPr>
          <w:rStyle w:val="Refdenotaalpie"/>
          <w:bCs/>
          <w:szCs w:val="28"/>
        </w:rPr>
        <w:footnoteReference w:id="2"/>
      </w:r>
      <w:r w:rsidRPr="006538AF">
        <w:rPr>
          <w:szCs w:val="28"/>
        </w:rPr>
        <w:t>.</w:t>
      </w:r>
    </w:p>
    <w:p w:rsidR="006538AF" w:rsidRPr="006538AF" w:rsidRDefault="006538AF" w:rsidP="006538AF">
      <w:pPr>
        <w:spacing w:line="240" w:lineRule="auto"/>
        <w:jc w:val="both"/>
        <w:rPr>
          <w:szCs w:val="28"/>
        </w:rPr>
      </w:pPr>
      <w:r w:rsidRPr="006538AF">
        <w:rPr>
          <w:szCs w:val="28"/>
        </w:rPr>
        <w:t>Un Portal destacado que</w:t>
      </w:r>
      <w:r w:rsidRPr="006538AF">
        <w:rPr>
          <w:bCs/>
          <w:szCs w:val="28"/>
        </w:rPr>
        <w:t xml:space="preserve"> fomenta la integración social y laboral de las personas con discapacidad, cofinanciado por Fundación ONCE e ILUNION Tecnología y Accesibilidad es El Portal de las Personas con Discapacidad </w:t>
      </w:r>
      <w:r w:rsidR="00F135AD" w:rsidRPr="006538AF">
        <w:rPr>
          <w:szCs w:val="28"/>
        </w:rPr>
        <w:fldChar w:fldCharType="begin" w:fldLock="1"/>
      </w:r>
      <w:r w:rsidRPr="006538AF">
        <w:rPr>
          <w:szCs w:val="28"/>
        </w:rPr>
        <w:instrText>ADDIN CSL_CITATION { "citationItems" : [ { "id" : "ITEM-1", "itemData" : { "URL" : "https://www.discapnet.es/areas-tematicas/accesibilidad", "author" : [ { "dropping-particle" : "", "family" : "Discapnet", "given" : "", "non-dropping-particle" : "", "parse-names" : false, "suffix" : "" } ], "id" : "ITEM-1", "issued" : { "date-parts" : [ [ "2018" ] ] }, "title" : "La accesibilidad Web | Discapnet", "type" : "webpage" }, "uris" : [ "http://www.mendeley.com/documents/?uuid=5848e179-443a-3c7a-ba0a-edab31c4e3ed", "http://www.mendeley.com/documents/?uuid=71fbb9ea-e09d-4dbb-b7c9-c76755fb51b8" ] } ], "mendeley" : { "formattedCitation" : "(Discapnet, 2018)", "plainTextFormattedCitation" : "(Discapnet, 2018)", "previouslyFormattedCitation" : "(Discapnet, 2018)" }, "properties" : {  }, "schema" : "https://github.com/citation-style-language/schema/raw/master/csl-citation.json" }</w:instrText>
      </w:r>
      <w:r w:rsidR="00F135AD" w:rsidRPr="006538AF">
        <w:rPr>
          <w:szCs w:val="28"/>
        </w:rPr>
        <w:fldChar w:fldCharType="separate"/>
      </w:r>
      <w:r w:rsidRPr="006538AF">
        <w:rPr>
          <w:noProof/>
          <w:szCs w:val="28"/>
        </w:rPr>
        <w:t>(Discapnet, 2018)</w:t>
      </w:r>
      <w:r w:rsidR="00F135AD" w:rsidRPr="006538AF">
        <w:rPr>
          <w:szCs w:val="28"/>
        </w:rPr>
        <w:fldChar w:fldCharType="end"/>
      </w:r>
      <w:r w:rsidRPr="006538AF">
        <w:rPr>
          <w:szCs w:val="28"/>
        </w:rPr>
        <w:t xml:space="preserve"> el cual entiende por "accesibilidad de portales Web" el conjunto de tecnologías, normas de aplicación y diseño que facilitan la utilización de los sitios Web siguiendo las pautas del "diseño para todos". El fundamento para desarrollar una web accesible radica en comprender que las personas acceden a Internet de modos diferentes, entre estas alternativas tenemos:</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Usuarios con ceguera total que usan un programa lector de pantalla para acceder al contenido del navegador, escuchándolo por los altavoces o leyéndolo con sus dedos mediante una línea Braille.</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Usuarios con deficiencia visual, visión parcial o ceguera al color, que emplean sistemas de ampliación de la pantalla, recurren al aumento del tamaño de las letras o requieren un contraste efectivo de color entre el texto y el fondo.</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Usuarios con limitación motriz en sus manos, que no pueden utilizar el ratón y acceden al contenido web exclusivamente mediante el teclado de su ordenador o lo hacen mediante sistemas de reconocimiento de voz, navegando mediante instrucciones verbales que dan a su ordenador.</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Usuarios con sordera total que requieren de alternativas textuales a elementos multimedia sonoros.</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Pero también hay usuarios de conexiones lentas a Internet o que acceden mediante equipos portátiles del tipo "</w:t>
      </w:r>
      <w:proofErr w:type="spellStart"/>
      <w:r w:rsidRPr="006538AF">
        <w:rPr>
          <w:szCs w:val="28"/>
        </w:rPr>
        <w:t>palm</w:t>
      </w:r>
      <w:proofErr w:type="spellEnd"/>
      <w:r w:rsidRPr="006538AF">
        <w:rPr>
          <w:szCs w:val="28"/>
        </w:rPr>
        <w:t xml:space="preserve"> top" o teléfonos móviles con reducidas pantallas gráficas, que se benefician del diseño accesible.</w:t>
      </w:r>
    </w:p>
    <w:p w:rsidR="006538AF" w:rsidRPr="006538AF" w:rsidRDefault="006538AF" w:rsidP="006538AF">
      <w:pPr>
        <w:spacing w:line="240" w:lineRule="auto"/>
        <w:jc w:val="both"/>
        <w:rPr>
          <w:szCs w:val="28"/>
        </w:rPr>
      </w:pPr>
      <w:r w:rsidRPr="006538AF">
        <w:rPr>
          <w:szCs w:val="28"/>
        </w:rPr>
        <w:t xml:space="preserve">Mención especial tienen la discapacidad neurológica o cognitiva, tanto por su complejidad como por la diversidad de posibilidades que presenta, Esther Serna </w:t>
      </w:r>
      <w:proofErr w:type="spellStart"/>
      <w:r w:rsidRPr="006538AF">
        <w:rPr>
          <w:szCs w:val="28"/>
        </w:rPr>
        <w:t>Berná</w:t>
      </w:r>
      <w:proofErr w:type="spellEnd"/>
      <w:r w:rsidRPr="006538AF">
        <w:rPr>
          <w:szCs w:val="28"/>
        </w:rPr>
        <w:t xml:space="preserve"> </w:t>
      </w:r>
      <w:r w:rsidR="00F135AD" w:rsidRPr="006538AF">
        <w:rPr>
          <w:szCs w:val="28"/>
        </w:rPr>
        <w:fldChar w:fldCharType="begin" w:fldLock="1"/>
      </w:r>
      <w:r w:rsidRPr="006538AF">
        <w:rPr>
          <w:szCs w:val="28"/>
        </w:rPr>
        <w:instrText>ADDIN CSL_CITATION { "citationItems" : [ { "id" : "ITEM-1", "itemData" : { "author" : [ { "dropping-particle" : "", "family" : "Serna", "given" : "E", "non-dropping-particle" : "", "parse-names" : false, "suffix" : "" } ], "id" : "ITEM-1", "issued" : { "date-parts" : [ [ "2013" ] ] }, "title" : "Accesibilidad en la Web", "type" : "article-journal" }, "uris" : [ "http://www.mendeley.com/documents/?uuid=69425255-6af3-4742-912f-5dadf586c570", "http://www.mendeley.com/documents/?uuid=5a256321-58a2-4a73-be0f-ec479e5afcdb" ] } ], "mendeley" : { "formattedCitation" : "(Serna, 2013)", "plainTextFormattedCitation" : "(Serna, 2013)", "previouslyFormattedCitation" : "(Serna, 2013)" }, "properties" : {  }, "schema" : "https://github.com/citation-style-language/schema/raw/master/csl-citation.json" }</w:instrText>
      </w:r>
      <w:r w:rsidR="00F135AD" w:rsidRPr="006538AF">
        <w:rPr>
          <w:szCs w:val="28"/>
        </w:rPr>
        <w:fldChar w:fldCharType="separate"/>
      </w:r>
      <w:r w:rsidRPr="006538AF">
        <w:rPr>
          <w:noProof/>
          <w:szCs w:val="28"/>
        </w:rPr>
        <w:t>(Serna, 2013)</w:t>
      </w:r>
      <w:r w:rsidR="00F135AD" w:rsidRPr="006538AF">
        <w:rPr>
          <w:szCs w:val="28"/>
        </w:rPr>
        <w:fldChar w:fldCharType="end"/>
      </w:r>
      <w:r w:rsidRPr="006538AF">
        <w:rPr>
          <w:szCs w:val="28"/>
        </w:rPr>
        <w:t xml:space="preserve"> señala que son aquellas:</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 xml:space="preserve">Relacionadas con el aprendizaje, la dislexia y la </w:t>
      </w:r>
      <w:proofErr w:type="spellStart"/>
      <w:r w:rsidRPr="006538AF">
        <w:rPr>
          <w:szCs w:val="28"/>
        </w:rPr>
        <w:t>discalculia</w:t>
      </w:r>
      <w:proofErr w:type="spellEnd"/>
      <w:r w:rsidRPr="006538AF">
        <w:rPr>
          <w:szCs w:val="28"/>
        </w:rPr>
        <w:t xml:space="preserve"> o dificultades en el aprendizaje de las matemáticas. </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 xml:space="preserve">Los trastornos del déficit de atención. </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 xml:space="preserve">La dificultad para comprender conceptos complejos. </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 xml:space="preserve">Falta de memoria. </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 xml:space="preserve">Trastornos emocionales que dificultan la concentración </w:t>
      </w:r>
    </w:p>
    <w:p w:rsidR="006538AF" w:rsidRPr="006538AF" w:rsidRDefault="006538AF" w:rsidP="006538AF">
      <w:pPr>
        <w:pStyle w:val="Prrafodelista"/>
        <w:numPr>
          <w:ilvl w:val="0"/>
          <w:numId w:val="15"/>
        </w:numPr>
        <w:spacing w:after="120" w:line="240" w:lineRule="auto"/>
        <w:jc w:val="both"/>
        <w:rPr>
          <w:szCs w:val="28"/>
        </w:rPr>
      </w:pPr>
      <w:r w:rsidRPr="006538AF">
        <w:rPr>
          <w:szCs w:val="28"/>
        </w:rPr>
        <w:t>Epilepsia.</w:t>
      </w:r>
    </w:p>
    <w:p w:rsidR="006538AF" w:rsidRPr="006538AF" w:rsidRDefault="006538AF" w:rsidP="006538AF">
      <w:pPr>
        <w:spacing w:line="240" w:lineRule="auto"/>
        <w:jc w:val="both"/>
        <w:rPr>
          <w:szCs w:val="28"/>
        </w:rPr>
      </w:pPr>
      <w:r w:rsidRPr="006538AF">
        <w:rPr>
          <w:szCs w:val="28"/>
        </w:rPr>
        <w:t xml:space="preserve">Entre los productos de apoyo utilizados por este grupo de usuarios la autora menciona que usan el lector de pantalla, como producto de apoyo para facilitar la comprensión, cuando estas personas tienen dificultad para leer, y como estrategias de interacción: </w:t>
      </w:r>
    </w:p>
    <w:p w:rsidR="006538AF" w:rsidRPr="006538AF" w:rsidRDefault="006538AF" w:rsidP="006538AF">
      <w:pPr>
        <w:pStyle w:val="Prrafodelista"/>
        <w:numPr>
          <w:ilvl w:val="0"/>
          <w:numId w:val="14"/>
        </w:numPr>
        <w:spacing w:after="120" w:line="240" w:lineRule="auto"/>
        <w:jc w:val="both"/>
        <w:rPr>
          <w:szCs w:val="28"/>
        </w:rPr>
      </w:pPr>
      <w:r w:rsidRPr="006538AF">
        <w:rPr>
          <w:szCs w:val="28"/>
        </w:rPr>
        <w:t xml:space="preserve">Se apoyan en los subtítulos para facilitar la comprensión. </w:t>
      </w:r>
    </w:p>
    <w:p w:rsidR="006538AF" w:rsidRPr="006538AF" w:rsidRDefault="006538AF" w:rsidP="006538AF">
      <w:pPr>
        <w:pStyle w:val="Prrafodelista"/>
        <w:numPr>
          <w:ilvl w:val="0"/>
          <w:numId w:val="14"/>
        </w:numPr>
        <w:spacing w:after="120" w:line="240" w:lineRule="auto"/>
        <w:jc w:val="both"/>
        <w:rPr>
          <w:szCs w:val="28"/>
        </w:rPr>
      </w:pPr>
      <w:r w:rsidRPr="006538AF">
        <w:rPr>
          <w:szCs w:val="28"/>
        </w:rPr>
        <w:lastRenderedPageBreak/>
        <w:t>Desactivan los elementos multimedia para concentrarse en el contenido, es por ello que es muy importante si se incluye una animación en el sitio web ha de poder pararse cuando el usuario lo desee.</w:t>
      </w:r>
    </w:p>
    <w:p w:rsidR="006538AF" w:rsidRPr="006538AF" w:rsidRDefault="006538AF" w:rsidP="006538AF">
      <w:pPr>
        <w:spacing w:line="240" w:lineRule="auto"/>
        <w:jc w:val="both"/>
        <w:rPr>
          <w:szCs w:val="28"/>
        </w:rPr>
      </w:pPr>
      <w:r w:rsidRPr="006538AF">
        <w:rPr>
          <w:szCs w:val="28"/>
        </w:rPr>
        <w:t xml:space="preserve">Una investigación que da cuenta de estas discapacidades neurológicas o cognitivas y su vínculo con las tecnologías es la denominada “Tecnologías de la Información y de la Comunicación orientadas a la educación de personas con discapacidad cognitiva” la cual señala que existe una gran carencia de estudios científicos que valoren y analicen la accesibilidad real en la utilización de las nuevas tecnologías en personas con algún tipo de discapacidad intelectual de carácter cognitivo, centrado exclusivamente, en personas con algún grado de enfermedad mental. La evaluación sistemática de la usabilidad permite a diseñadores y desarrolladores informáticos valorar y mejorar, de forma continuada, los diseños y desarrollos obtenidos a través de la experiencia con el usuario, para optimizar el diseño y conseguir, de esta manera, un producto más competitivo, especialmente en el caso del acceso a Internet y de la educación a distancia </w:t>
      </w:r>
      <w:r w:rsidR="00F135AD" w:rsidRPr="006538AF">
        <w:rPr>
          <w:szCs w:val="28"/>
        </w:rPr>
        <w:fldChar w:fldCharType="begin" w:fldLock="1"/>
      </w:r>
      <w:r w:rsidRPr="006538AF">
        <w:rPr>
          <w:szCs w:val="28"/>
        </w:rPr>
        <w:instrText>ADDIN CSL_CITATION { "citationItems" : [ { "id" : "ITEM-1", "itemData" : { "ISSN" : "1695-288X", "abstract" : "Este art\u00edculo resume los trabajos de investigaci\u00f3n y las conclusiones obtenidas relacionadas con el uso de las Tecnolog\u00edas de la Informaci\u00f3n y de la Comunicaci\u00f3n (TIC) en personas con discapacidad cognitiva. Los resultados de los estudios realizados por nuestro grupo de investigaci\u00f3n se centraron en la problem\u00e1tica de la usabilidad y accesibilidad dentro de la generaci\u00f3n de material did\u00e1ctico y formativo audiovisual interactivo, factores imprescindibles para un dise\u00f1o formal y funcional \u00f3ptimo de herramientas telem\u00e1ticas, dirigidas a permitir que, en un principio, cualquier tipo de usuario pueda acceder a ellas, independientemente de si padecen una discapacidad o no. Estos estudios intentaban valorar, por un lado, el grado de satisfacci\u00f3n de un grupo de pacientes con una enfermedad mental con deterioro cognitivo de car\u00e1cter cr\u00f3nico al enfrentarse al manejo de herramientas digitales multimedia para su formaci\u00f3n educacional, laboral y terap\u00e9utica, y por otro, valorar el grado de usabilidad y accesibilidad empleados en aplicaciones inform\u00e1ticas para evaluar y analizar las limitaciones concretas de estos colectivos, con la finalidad de componer un corpus te\u00f3rico con criterios de usabilidad y accesibilidad para personas con una enfermedad mental que complementen las pautas generales de dise\u00f1o y programaci\u00f3n utilizados actualmente. Si bien es cierto que existen numerosas investigaciones en el \u00e1mbito m\u00e9dico y sanitario sobre la adecuaci\u00f3n de las TIC a las necesidades de colectivos con alguna discapacidad f\u00edsica, existe una gran carencia de estudios cient\u00edficos que valoren y analicen la accesibilidad real en la utilizaci\u00f3n de las nuevas tecnolog\u00edas en personas con alg\u00fan tipo de discapacidad intelectual de car\u00e1cter cognitivo, centrado exclusivamente, en personas con alg\u00fan grado de enfermedad mental. La evaluaci\u00f3n sistem\u00e1tica de la usabilidad permite a dise\u00f1adores y desarrolladores inform\u00e1ticos valorar y mejorar, de forma continuada, los dise\u00f1os y desarrollos obtenidos a trav\u00e9s de la experiencia con el usuario, para optimizar el dise\u00f1o y conseguir, de esta manera, un producto m\u00e1s competitivo, especialmente en el caso del acceso a Internet y de la educaci\u00f3n a distancia.", "author" : [ { "dropping-particle" : "", "family" : "Prefasi Gomar", "given" : "Salva", "non-dropping-particle" : "", "parse-names" : false, "suffix" : "" }, { "dropping-particle" : "", "family" : "Magal Royo", "given" : "Teresa", "non-dropping-particle" : "", "parse-names" : false, "suffix" : "" }, { "dropping-particle" : "", "family" : "Garde", "given" : "Francisco", "non-dropping-particle" : "", "parse-names" : false, "suffix" : "" }, { "dropping-particle" : "", "family" : "Gim\u00e9nez L\u00f3pez", "given" : "Jos\u00e9 Luis", "non-dropping-particle" : "", "parse-names" : false, "suffix" : "" } ], "container-title" : "RELATEC - Revista Latinoamericana de Tecnolog\u00eda Educativa", "id" : "ITEM-1", "issue" : "2", "issued" : { "date-parts" : [ [ "2010" ] ] }, "page" : "107-123", "title" : "Tecnolog\u00edas de la informaci\u00f3n y de la comunicaci\u00f3n orientadas a la educaci\u00f3n de personas con discapacidad cognitiva", "type" : "article-journal", "volume" : "9" }, "uris" : [ "http://www.mendeley.com/documents/?uuid=d17196db-727a-4b22-9cb6-9f0178f2e965", "http://www.mendeley.com/documents/?uuid=8bbfcd64-5f74-428b-8f40-e3798a0236d9" ] } ], "mendeley" : { "formattedCitation" : "(Prefasi Gomar, Magal Royo, Garde, &amp; Gim\u00e9nez L\u00f3pez, 2010)", "plainTextFormattedCitation" : "(Prefasi Gomar, Magal Royo, Garde, &amp; Gim\u00e9nez L\u00f3pez, 2010)", "previouslyFormattedCitation" : "(Prefasi Gomar, Magal Royo, Garde, &amp; Gim\u00e9nez L\u00f3pez, 2010)" }, "properties" : {  }, "schema" : "https://github.com/citation-style-language/schema/raw/master/csl-citation.json" }</w:instrText>
      </w:r>
      <w:r w:rsidR="00F135AD" w:rsidRPr="006538AF">
        <w:rPr>
          <w:szCs w:val="28"/>
        </w:rPr>
        <w:fldChar w:fldCharType="separate"/>
      </w:r>
      <w:r w:rsidRPr="006538AF">
        <w:rPr>
          <w:noProof/>
          <w:szCs w:val="28"/>
        </w:rPr>
        <w:t>(Prefasi Gomar, Magal Royo, Garde, &amp; Giménez López, 2010)</w:t>
      </w:r>
      <w:r w:rsidR="00F135AD" w:rsidRPr="006538AF">
        <w:rPr>
          <w:szCs w:val="28"/>
        </w:rPr>
        <w:fldChar w:fldCharType="end"/>
      </w:r>
      <w:r w:rsidRPr="006538AF">
        <w:rPr>
          <w:szCs w:val="28"/>
        </w:rPr>
        <w:t>.</w:t>
      </w:r>
    </w:p>
    <w:p w:rsidR="006538AF" w:rsidRDefault="006538AF" w:rsidP="003B77E9">
      <w:pPr>
        <w:jc w:val="both"/>
      </w:pPr>
    </w:p>
    <w:p w:rsidR="007B75C6" w:rsidRPr="00D81E11" w:rsidRDefault="007B75C6" w:rsidP="00825072">
      <w:pPr>
        <w:rPr>
          <w:b/>
        </w:rPr>
      </w:pPr>
      <w:r w:rsidRPr="00D81E11">
        <w:rPr>
          <w:b/>
        </w:rPr>
        <w:t>Estudios relacionados</w:t>
      </w:r>
    </w:p>
    <w:p w:rsidR="007B75C6" w:rsidRDefault="007B75C6" w:rsidP="00825072">
      <w:r>
        <w:t>Se han realizado variados estudios relacionados con el tema en España</w:t>
      </w:r>
      <w:r w:rsidR="00A41C33">
        <w:t xml:space="preserve"> tanto a sitios públicos como privados</w:t>
      </w:r>
      <w:r>
        <w:t>,</w:t>
      </w:r>
      <w:r w:rsidR="006E3A2A">
        <w:t xml:space="preserve"> en la tabla 1 se mencionan algunos</w:t>
      </w:r>
      <w:r w:rsidR="005F5FAE">
        <w:t>:</w:t>
      </w:r>
    </w:p>
    <w:p w:rsidR="005F5FAE" w:rsidRDefault="005F5FAE" w:rsidP="005F5FAE">
      <w:r>
        <w:t>Tabla 1.- Estudios sobre accesibilidad en España.</w:t>
      </w:r>
    </w:p>
    <w:tbl>
      <w:tblPr>
        <w:tblStyle w:val="Tablaconcuadrcula"/>
        <w:tblW w:w="0" w:type="auto"/>
        <w:tblLook w:val="04A0"/>
      </w:tblPr>
      <w:tblGrid>
        <w:gridCol w:w="4957"/>
        <w:gridCol w:w="3871"/>
      </w:tblGrid>
      <w:tr w:rsidR="007B75C6" w:rsidRPr="009E4C4D" w:rsidTr="00C56E69">
        <w:tc>
          <w:tcPr>
            <w:tcW w:w="4957" w:type="dxa"/>
          </w:tcPr>
          <w:p w:rsidR="007B75C6" w:rsidRPr="002B1761" w:rsidRDefault="007B75C6" w:rsidP="009D6B2E">
            <w:pPr>
              <w:spacing w:after="160"/>
            </w:pPr>
            <w:r w:rsidRPr="002B1761">
              <w:t>Investigación</w:t>
            </w:r>
          </w:p>
        </w:tc>
        <w:tc>
          <w:tcPr>
            <w:tcW w:w="3871" w:type="dxa"/>
          </w:tcPr>
          <w:p w:rsidR="007B75C6" w:rsidRPr="002B1761" w:rsidRDefault="007B75C6" w:rsidP="009D6B2E">
            <w:pPr>
              <w:spacing w:after="160"/>
            </w:pPr>
            <w:r w:rsidRPr="002B1761">
              <w:t>Autores</w:t>
            </w:r>
          </w:p>
        </w:tc>
      </w:tr>
      <w:tr w:rsidR="007B75C6" w:rsidRPr="009E4C4D" w:rsidTr="00C56E69">
        <w:tc>
          <w:tcPr>
            <w:tcW w:w="4957" w:type="dxa"/>
          </w:tcPr>
          <w:p w:rsidR="007B75C6" w:rsidRPr="002B1761" w:rsidRDefault="007B75C6" w:rsidP="009D6B2E">
            <w:pPr>
              <w:spacing w:after="160"/>
            </w:pPr>
            <w:r w:rsidRPr="002B1761">
              <w:t>El acceso web para personas con capacidades limitadas en los ayuntamientos españoles</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"abstract" : "Este art\u00edculo analiza el grado de accesibilidad de las webs de la administraci\u00f3n local espa\u00f1ola para las personas con capacidades reducidas, en el contexto de la Ley de Transparencia de 2013. Se presentan 16 indicadores que permiten medir el acceso a la informaci\u00f3n por parte de usuarios con limitaciones sociodemogr\u00e1ficas o discapacidades f\u00edsicas, los que se aplicaron a las webs de los 62 ayuntamientos espa\u00f1oles con m\u00e1s de 100.000 habitantes. Los resultados muestran que la administraci\u00f3n local espa\u00f1ola no permite el empoderamiento digital de estos ciudadanos, dificultando su derecho de acceso a la informaci\u00f3n y la rendici\u00f3n de cuentas.\rThis article analyzes the degree of accessibility of the websites of the Spanish local administration for people with disabilities in the context of the Transparency Law of 2013. We present 16 indicators that measure the access to information by users with sociodemographic limitations or physical disabilities, which were applied to the websites of the 62 Spanish municipalities with more than 100,000 inhabitants. The results show that the Spanish local administration does not fully allow the digital empowerment of these citizens, hindering their right of access to information and accountability. \rEste artigo analisa o grau de acessibilidade de pessoas com capacidades reduzidas aos sites da administra\u00e7\u00e3o local espanhola no contexto da Lei de Transpar\u00eancia de 2013. Existem 16 indicadores que medem o acesso \u00e0 informa\u00e7\u00e3o por usu\u00e1rios com limita\u00e7\u00f5es sociodemogr\u00e1ficas ou defici\u00eancias f\u00edsicas. Os indicadores s\u00e3o aplicados aos sites dos 62 munic\u00edpios espanh\u00f3is com mais de 100 mil habitantes. Os resultados mostram que a administra\u00e7\u00e3o local espanhola n\u00e3o permite o empoderamento digital desses cidad\u00e3os, impedindo seu direito de acesso \u00e0 informa\u00e7\u00e3o e \u00e0 presta\u00e7\u00e3o de contas.", "author" : [ { "dropping-particle" : "", "family" : "Mart\u00edn", "given" : "Inmaculada S\u00e1nchez-labella", "non-dropping-particle" : "", "parse-names" : false, "suffix" : "" }, { "dropping-particle" : "", "family" : "Simelio", "given" : "N\u00faria", "non-dropping-particle" : "", "parse-names" : false, "suffix" : "" }, { "dropping-particle" : "", "family" : "Moreno-sard\u00e0", "given" : "Amparo", "non-dropping-particle" : "", "parse-names" : false, "suffix" : "" } ], "id" : "ITEM-1", "issued" : { "date-parts" : [ [ "2017" ] ] }, "page" : "155-173", "title" : "El acceso web para personas con capacidades limitadas en los ayuntamientos espa\u00f1oles 1 Web accessibility for people with disabilities in Spanish city councils", "type" : "article-journal" }, "uris" : [ "http://www.mendeley.com/documents/?uuid=c7630b1d-b480-4691-a05c-1104bfa3d395", "http://www.mendeley.com/documents/?uuid=21ed6d34-ffb6-469c-bf7e-fdf88952821b" ] } ], "mendeley" : { "formattedCitation" : "(Mart\u00edn, Simelio, &amp; Moreno-sard\u00e0, 2017)", "plainTextFormattedCitation" : "(Mart\u00edn, Simelio, &amp; Moreno-sard\u00e0, 2017)", "previouslyFormattedCitation" : "(Mart\u00edn, Simelio, &amp; Moreno-sard\u00e0, 2017)" }, "properties" : {  }, "schema" : "https://github.com/citation-style-language/schema/raw/master/csl-citation.json" }</w:instrText>
            </w:r>
            <w:r w:rsidRPr="002B1761">
              <w:fldChar w:fldCharType="separate"/>
            </w:r>
            <w:r w:rsidR="007E5220" w:rsidRPr="002B1761">
              <w:rPr>
                <w:noProof/>
              </w:rPr>
              <w:t>(Martín, Simelio, &amp; Moreno-sardà, 2017)</w:t>
            </w:r>
            <w:r w:rsidRPr="002B1761">
              <w:fldChar w:fldCharType="end"/>
            </w:r>
          </w:p>
        </w:tc>
      </w:tr>
      <w:tr w:rsidR="007B75C6" w:rsidRPr="009E4C4D" w:rsidTr="009D6B2E">
        <w:trPr>
          <w:trHeight w:val="636"/>
        </w:trPr>
        <w:tc>
          <w:tcPr>
            <w:tcW w:w="4957" w:type="dxa"/>
          </w:tcPr>
          <w:p w:rsidR="007B75C6" w:rsidRPr="002B1761" w:rsidRDefault="007B75C6" w:rsidP="009D6B2E">
            <w:pPr>
              <w:spacing w:after="160"/>
            </w:pPr>
            <w:r w:rsidRPr="002B1761">
              <w:t>Análisis de la accesibilidad en las páginas web de varios destinos turísticos de la provincia de Valencia – España.</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"author" : [ { "dropping-particle" : "", "family" : "Morales", "given" : "N\u00faria Carlos", "non-dropping-particle" : "", "parse-names" : false, "suffix" : "" }, { "dropping-particle" : "", "family" : "Chust", "given" : "Alberto Palomares", "non-dropping-particle" : "", "parse-names" : false, "suffix" : "" }, { "dropping-particle" : "", "family" : "Serrano", "given" : "Dolores Teruel", "non-dropping-particle" : "", "parse-names" : false, "suffix" : "" } ], "container-title" : "(Doctoral dissertation)", "id" : "ITEM-1", "issued" : { "date-parts" : [ [ "2015" ] ] }, "title" : "An\u00e1lisis de la accesibilidad en las p\u00e1ginas web de varios destinos tur\u00edsticos de la provincia de Valencia-Espa\u00f1a", "type" : "article-journal" }, "uris" : [ "http://www.mendeley.com/documents/?uuid=1eeb9db7-2e82-4bcb-9f12-a879807cbf28" ] } ], "mendeley" : { "formattedCitation" : "(Morales, Chust, &amp; Serrano, 2015)", "plainTextFormattedCitation" : "(Morales, Chust, &amp; Serrano, 2015)", "previouslyFormattedCitation" : "(Morales, Chust, &amp; Serrano, 2015)" }, "properties" : {  }, "schema" : "https://github.com/citation-style-language/schema/raw/master/csl-citation.json" }</w:instrText>
            </w:r>
            <w:r w:rsidRPr="002B1761">
              <w:fldChar w:fldCharType="separate"/>
            </w:r>
            <w:r w:rsidR="00C527E3" w:rsidRPr="00C527E3">
              <w:rPr>
                <w:noProof/>
              </w:rPr>
              <w:t>(Morales, Chust, &amp; Serrano, 2015)</w:t>
            </w:r>
            <w:r w:rsidRPr="002B1761">
              <w:fldChar w:fldCharType="end"/>
            </w:r>
          </w:p>
        </w:tc>
      </w:tr>
      <w:tr w:rsidR="007B75C6" w:rsidRPr="009E4C4D" w:rsidTr="009D6B2E">
        <w:trPr>
          <w:trHeight w:val="721"/>
        </w:trPr>
        <w:tc>
          <w:tcPr>
            <w:tcW w:w="4957" w:type="dxa"/>
          </w:tcPr>
          <w:p w:rsidR="007B75C6" w:rsidRPr="002B1761" w:rsidRDefault="007B75C6" w:rsidP="009D6B2E">
            <w:pPr>
              <w:spacing w:after="160"/>
            </w:pPr>
            <w:r w:rsidRPr="002B1761">
              <w:t>Dificultades en la Accesibilidad Web de las Universidades Españolas de acuerdo a la Norma WCAG 2.0</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"DOI" : "10.3989/redc.2013.4.1009", "ISSN" : "0210-0614", "abstract" : "El prop\u00f3sito del estudio ha sido conocer posibles limitaciones en el nivel de accesibilidad de las p\u00e1ginas principales y de estudiantes, de los sitios web de 74 Universidades espa\u00f1olas, para lo cual se ha utilizado la herramienta TAW, que permite analizar, de acuerdo a la norma WCAG 2.0, la existencia de barreras en ellas. Despu\u00e9s de revisar autom\u00e1tica y manualmente los Principios, Pautas y Criterios de conformidad de la norma, en sus niveles de prioridad A y AA, un an\u00e1lisis porcentual constata que ni una sola de las universidades los supera en su totalidad en ninguna de las dos p\u00e1ginas analizadas, aunque la mejor situada en accesibilidad es la de Granada en ambas p\u00e1ginas, seguida de la de Alicante. Se concluye recomendando hacer chequeos y ajustes para resolver estos problemas y facilitar la accesibilidad web.", "author" : [ { "dropping-particle" : "", "family" : "Chac\u00f3n-Medina", "given" : "Antonio", "non-dropping-particle" : "", "parse-names" : false, "suffix" : "" }, { "dropping-particle" : "", "family" : "Chac\u00f3n-Lopez", "given" : "Helena", "non-dropping-particle" : "", "parse-names" : false, "suffix" : "" }, { "dropping-particle" : "", "family" : "Lopez-Justicia", "given" : "Dolores", "non-dropping-particle" : "", "parse-names" : false, "suffix" : "" }, { "dropping-particle" : "", "family" : "Fern\u00e1ndez-Jim\u00e9nez", "given" : "Carolina", "non-dropping-particle" : "", "parse-names" : false, "suffix" : "" } ], "container-title" : "Revista espa\u00f1ola de Documentaci\u00f3n Cient\u00edfica", "id" : "ITEM-1", "issued" : { "date-parts" : [ [ "2013" ] ] }, "title" : "Dificultades en la Accesibilidad Web de las Universidades Espa\u00f1olas de acuerdo a la norma WCAG 2.0", "type" : "article-journal" }, "uris" : [ "http://www.mendeley.com/documents/?uuid=a78a420e-7c04-4637-bc90-a8744de127aa" ] } ], "mendeley" : { "formattedCitation" : "(Chac\u00f3n-Medina, Chac\u00f3n-Lopez, Lopez-Justicia, &amp; Fern\u00e1ndez-Jim\u00e9nez, 2013)", "plainTextFormattedCitation" : "(Chac\u00f3n-Medina, Chac\u00f3n-Lopez, Lopez-Justicia, &amp; Fern\u00e1ndez-Jim\u00e9nez, 2013)", "previouslyFormattedCitation" : "(Chac\u00f3n-Medina, Chac\u00f3n-Lopez, Lopez-Justicia, &amp; Fern\u00e1ndez-Jim\u00e9nez, 2013)" }, "properties" : {  }, "schema" : "https://github.com/citation-style-language/schema/raw/master/csl-citation.json" }</w:instrText>
            </w:r>
            <w:r w:rsidRPr="002B1761">
              <w:fldChar w:fldCharType="separate"/>
            </w:r>
            <w:r w:rsidR="007B75C6" w:rsidRPr="002B1761">
              <w:rPr>
                <w:noProof/>
              </w:rPr>
              <w:t>(Chacón-Medina, Chacón-Lopez, Lopez-Justicia, &amp; Fernández-Jiménez, 2013)</w:t>
            </w:r>
            <w:r w:rsidRPr="002B1761">
              <w:fldChar w:fldCharType="end"/>
            </w:r>
          </w:p>
        </w:tc>
      </w:tr>
      <w:tr w:rsidR="007B75C6" w:rsidRPr="009E4C4D" w:rsidTr="009D6B2E">
        <w:trPr>
          <w:trHeight w:val="963"/>
        </w:trPr>
        <w:tc>
          <w:tcPr>
            <w:tcW w:w="4957" w:type="dxa"/>
          </w:tcPr>
          <w:p w:rsidR="007B75C6" w:rsidRPr="002B1761" w:rsidRDefault="007B75C6" w:rsidP="009D6B2E">
            <w:pPr>
              <w:spacing w:after="160"/>
            </w:pPr>
            <w:r w:rsidRPr="002B1761">
              <w:t>Evaluación de la accesibilidad de páginas web de universidades españolas y extranjeras incluidas en rankings universitarios internacionales</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"DOI" : "10.3989/redc.2013.1.913", "ISBN" : "0099-1333", "ISSN" : "1988-4621", "PMID" : "21605356", "abstract" : "RESUMEN En este art\u00edculo se describe un estudio llevado a cabo para evaluar la accesibilidad de los contenidos de los portales Web de algunas de las universidades extranjeras y espa\u00f1olas m\u00e1s relevantes seg\u00fan tres rankings universitarios publicados. Se han seleccionado universidades incluidas simult\u00e1neamente en \" Academic Ranking of World Universities \" , en \" Times Higher Education Supplement \" y en \" Webometrics Rankings of World Universities \" . La evaluaci\u00f3n de la accesibilidad se ha realizado comprobando el cumplimiento de las pautas de accesibilidad de contenidos Web establecidas por el World Wide Web Consortium en la recomendaci\u00f3n WCAG 2.0. Se ha tratado de determinar si universidades con prestigio a nivel acad\u00e9mico ofrecen la informaci\u00f3n sobre la universidad a trav\u00e9s de su Web, de tal forma que pueda ser visitada por todas las personas (profesores, estudiantes), independientemente de si tienen o no alg\u00fan tipo de discapacidad. Desafortunadamente los resultados no han sido tan buenos como cabr\u00eda esperar de universidades de tanta importancia. Accessibility assessment of web pages of Spanish and foreign universities included in international rankings ABSTRACT This article describes a study conducted to evaluate the accessibility of the contents of the Web sites of some of the most important universities in Spain and the rest or the world, according with three international rankings. Universities included simultaneously in \" Academic Ranking of World Universities \" , in \" Times Higher Education Supplement \" and in \" Webometrics Rankings of World Universities \" have been selected. The accessibility assessment has been carried out to check compliance with accessibility guidelines for Web content established by the World Wide Web Consortium recommendation in WCAG 2.0. We have tried to determine whether universities with greater academic prestige have been concerned to provide accesible information about the university through its website so that it can be accessed by everyone (teachers, students), regardless of whether or not the user has a disability. Unfortunately the results have not been as good as expected from universities as important.", "author" : [ { "dropping-particle" : "", "family" : "Hilera", "given" : "Jos\u00e9 R.", "non-dropping-particle" : "", "parse-names" : false, "suffix" : "" }, { "dropping-particle" : "", "family" : "Fern\u00e1ndez", "given" : "Luis", "non-dropping-particle" : "", "parse-names" : false, "suffix" : "" }, { "dropping-particle" : "", "family" : "Su\u00e1rez", "given" : "Esther", "non-dropping-particle" : "", "parse-names" : false, "suffix" : "" }, { "dropping-particle" : "", "family" : "Vilar", "given" : "Elena T.", "non-dropping-particle" : "", "parse-names" : false, "suffix" : "" } ], "container-title" : "Revista espa\u00f1ola de Documentaci\u00f3n Cient\u00edfica", "id" : "ITEM-1", "issue" : "1", "issued" : { "date-parts" : [ [ "2013" ] ] }, "page" : "004", "title" : "Evaluaci\u00f3n de la accesibilidad de p\u00e1ginas web de universidades espa\u00f1olas y extranjeras incluidas en rankings universitarios internacionales", "type" : "article-journal", "volume" : "36" }, "uris" : [ "http://www.mendeley.com/documents/?uuid=5527ad70-1b04-44e8-9969-74a47b404ddf" ] } ], "mendeley" : { "formattedCitation" : "(Hilera, Fern\u00e1ndez, Su\u00e1rez, &amp; Vilar, 2013)", "plainTextFormattedCitation" : "(Hilera, Fern\u00e1ndez, Su\u00e1rez, &amp; Vilar, 2013)", "previouslyFormattedCitation" : "(Hilera, Fern\u00e1ndez, Su\u00e1rez, &amp; Vilar, 2013)" }, "properties" : {  }, "schema" : "https://github.com/citation-style-language/schema/raw/master/csl-citation.json" }</w:instrText>
            </w:r>
            <w:r w:rsidRPr="002B1761">
              <w:fldChar w:fldCharType="separate"/>
            </w:r>
            <w:r w:rsidR="007B75C6" w:rsidRPr="002B1761">
              <w:rPr>
                <w:noProof/>
              </w:rPr>
              <w:t>(Hilera, Fernández, Suárez, &amp; Vilar, 2013)</w:t>
            </w:r>
            <w:r w:rsidRPr="002B1761">
              <w:fldChar w:fldCharType="end"/>
            </w:r>
          </w:p>
        </w:tc>
      </w:tr>
      <w:tr w:rsidR="007B75C6" w:rsidRPr="009E4C4D" w:rsidTr="00C56E69">
        <w:tc>
          <w:tcPr>
            <w:tcW w:w="4957" w:type="dxa"/>
          </w:tcPr>
          <w:p w:rsidR="007B75C6" w:rsidRPr="002B1761" w:rsidRDefault="007B75C6" w:rsidP="009D6B2E">
            <w:pPr>
              <w:spacing w:after="160"/>
            </w:pPr>
            <w:r w:rsidRPr="002B1761">
              <w:t>La accesibilidad de las webs de las universidades españolas. Balance 2001-2006</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"DOI" : "10.3989/redc.2009.3.683", "ISSN" : "1988-4621", "abstract" : "El estudio analiza el nivel de cumplimiento que el a\u00f1o 2006 hac\u00edan las sedes web de las universidades espa\u00f1olas de las Pautas de accesibilidad al contenido de la web (WCAG), versi\u00f3n 1.0, en su nivel A. Los resultados del an\u00e1lisis se comparan con los obtenidos el a\u00f1o 2001. Por el lado positivo se observa una mayor implantaci\u00f3n de las alternativas a gr\u00e1fi cos, hojas de estilo CSS y de las alternativas a Flash y PDF; y que un n\u00famero mayor de universidades (10 en total) logra en 2006 un cumplimiento al 100 % del nivel A de las WCAG. Por el lado negativo se observa una peor calidad de los textos y un menor cumplimiento de las normas de accesibilidad, respecto a los resultados del a\u00f1o 2001, en las p\u00e1ginas de los planes de estudio, usualmente generadas de forma autom\u00e1tica. El estudio, de forma complementaria, tambi\u00e9n analiza el nivel de seguimiento de los indicadores de la norma 508 de Estados Unidos y de otros 5 indicadores adicionales de usabilidad. En cuanto al cumplimiento de la norma 508, no obligatoria en Espa\u00f1a, ninguna universidad logra el 100 % de cumplimiento. Respecto a los otros indicadores el cumplimiento es de un 65 %. Como resultado global se constata que el nivel de accesibilidad sigue en niveles bajos, similar al del a\u00f1o 2001, y con grandes diferencias entre centros; estos resultados indican un nivel de cumplimiento menor del que cabr\u00eda esperar por los cambios aplicados en la legislaci\u00f3n espa\u00f1ola a favor de la accesibilidad de los sitios web.", "author" : [ { "dropping-particle" : "", "family" : "Ribera", "given" : "Mireia", "non-dropping-particle" : "", "parse-names" : false, "suffix" : "" }, { "dropping-particle" : "", "family" : "T\u00e9rmens", "given" : "Miquel", "non-dropping-particle" : "", "parse-names" : false, "suffix" : "" }, { "dropping-particle" : "", "family" : "Fr\u00edas", "given" : "Amparo", "non-dropping-particle" : "", "parse-names" : false, "suffix" : "" } ], "container-title" : "Revista espa\u00f1ola de Documentaci\u00f3n Cient\u00edfica", "id" : "ITEM-1", "issue" : "3", "issued" : { "date-parts" : [ [ "2009" ] ] }, "page" : "66-88", "title" : "La accessibilidad de las webs de las universidades espa\u00f1olas. Balance 2001-2006", "type" : "article-journal", "volume" : "32" }, "uris" : [ "http://www.mendeley.com/documents/?uuid=7d82fc2b-309b-41cf-987c-418311f6d855" ] } ], "mendeley" : { "formattedCitation" : "(Ribera, T\u00e9rmens, &amp; Fr\u00edas, 2009)", "plainTextFormattedCitation" : "(Ribera, T\u00e9rmens, &amp; Fr\u00edas, 2009)", "previouslyFormattedCitation" : "(Ribera, T\u00e9rmens, &amp; Fr\u00edas, 2009)" }, "properties" : {  }, "schema" : "https://github.com/citation-style-language/schema/raw/master/csl-citation.json" }</w:instrText>
            </w:r>
            <w:r w:rsidRPr="002B1761">
              <w:fldChar w:fldCharType="separate"/>
            </w:r>
            <w:r w:rsidR="007B75C6" w:rsidRPr="002B1761">
              <w:rPr>
                <w:noProof/>
              </w:rPr>
              <w:t>(Ribera, Térmens, &amp; Frías, 2009)</w:t>
            </w:r>
            <w:r w:rsidRPr="002B1761">
              <w:fldChar w:fldCharType="end"/>
            </w:r>
          </w:p>
        </w:tc>
      </w:tr>
      <w:tr w:rsidR="007B75C6" w:rsidRPr="009E4C4D" w:rsidTr="009D6B2E">
        <w:trPr>
          <w:trHeight w:val="425"/>
        </w:trPr>
        <w:tc>
          <w:tcPr>
            <w:tcW w:w="4957" w:type="dxa"/>
          </w:tcPr>
          <w:p w:rsidR="007B75C6" w:rsidRPr="002B1761" w:rsidRDefault="007B75C6" w:rsidP="009D6B2E">
            <w:pPr>
              <w:spacing w:after="160"/>
            </w:pPr>
            <w:r w:rsidRPr="002B1761">
              <w:t>Nivel de accesibilidad de las sedes web de las universidades españolas</w:t>
            </w:r>
          </w:p>
        </w:tc>
        <w:tc>
          <w:tcPr>
            <w:tcW w:w="3871" w:type="dxa"/>
          </w:tcPr>
          <w:p w:rsidR="007B75C6" w:rsidRPr="002B1761" w:rsidRDefault="00F135AD" w:rsidP="009D6B2E">
            <w:pPr>
              <w:spacing w:after="160"/>
            </w:pPr>
            <w:r w:rsidRPr="002B1761">
              <w:fldChar w:fldCharType="begin" w:fldLock="1"/>
            </w:r>
            <w:r w:rsidR="00C527E3">
              <w:instrText>ADDIN CSL_CITATION { "citationItems" : [ { "id" : "ITEM-1", "itemData" : { "DOI" : "http://dx.doi.org/10.3989/redc.2003.v26.i1.131", "ISBN" : "0138-9130", "ISSN" : "01389130", "abstract" : "Es un estudio de las webs de universidades espa\u00f1olas y la accesibilidad a \u00e9stas. Se sigue una serie de indicadores que son las llamadas \u201cPautas de la accesibilidad al contenido de web\u201d. En conclusi\u00f3n se descubre que ninguna cumple con los indicadores por completo, dando as\u00ed la posibilidad de mejorarlas.", "author" : [ { "dropping-particle" : "", "family" : "Graells", "given" : "Miquel T\u00e9rmens", "non-dropping-particle" : "", "parse-names" : false, "suffix" : "" }, { "dropping-particle" : "", "family" : "Turr\u00f3", "given" : "Mireia Ribera", "non-dropping-particle" : "", "parse-names" : false, "suffix" : "" }, { "dropping-particle" : "", "family" : "Duesa", "given" : "Andreu Sul\u00e9", "non-dropping-particle" : "", "parse-names" : false, "suffix" : "" } ], "container-title" : "Revista Espa\u00f1ola De Documentaci\u00f3n Cientifica", "id" : "ITEM-1", "issue" : "1", "issued" : { "date-parts" : [ [ "2003" ] ] }, "page" : "1-19", "title" : "Nivel de Accesibilidad de las Sedes Web De Las Universidades Espa\u00f1olas", "type" : "article-journal", "volume" : "26" }, "uris" : [ "http://www.mendeley.com/documents/?uuid=dd15e8d5-3c3c-4c0f-9c78-a53712a4fd52" ] } ], "mendeley" : { "formattedCitation" : "(Graells, Turr\u00f3, &amp; Duesa, 2003)", "plainTextFormattedCitation" : "(Graells, Turr\u00f3, &amp; Duesa, 2003)", "previouslyFormattedCitation" : "(Graells, Turr\u00f3, &amp; Duesa, 2003)" }, "properties" : {  }, "schema" : "https://github.com/citation-style-language/schema/raw/master/csl-citation.json" }</w:instrText>
            </w:r>
            <w:r w:rsidRPr="002B1761">
              <w:fldChar w:fldCharType="separate"/>
            </w:r>
            <w:r w:rsidR="007B75C6" w:rsidRPr="002B1761">
              <w:rPr>
                <w:noProof/>
              </w:rPr>
              <w:t>(Graells, Turró, &amp; Duesa, 2003)</w:t>
            </w:r>
            <w:r w:rsidRPr="002B1761">
              <w:fldChar w:fldCharType="end"/>
            </w:r>
          </w:p>
        </w:tc>
      </w:tr>
    </w:tbl>
    <w:p w:rsidR="005F5FAE" w:rsidRPr="00A6630B" w:rsidRDefault="00A6630B" w:rsidP="00015DBB">
      <w:pPr>
        <w:jc w:val="both"/>
      </w:pPr>
      <w:r w:rsidRPr="00A6630B">
        <w:t>Fuente: elaboración propia.</w:t>
      </w:r>
    </w:p>
    <w:p w:rsidR="00EE59F4" w:rsidRDefault="00EE59F4" w:rsidP="00015DBB">
      <w:pPr>
        <w:jc w:val="both"/>
        <w:rPr>
          <w:b/>
        </w:rPr>
      </w:pPr>
    </w:p>
    <w:p w:rsidR="00EE59F4" w:rsidRDefault="00EE59F4" w:rsidP="00015DBB">
      <w:pPr>
        <w:jc w:val="both"/>
        <w:rPr>
          <w:b/>
        </w:rPr>
      </w:pPr>
    </w:p>
    <w:p w:rsidR="00D81E11" w:rsidRDefault="00D81E11" w:rsidP="00015DBB">
      <w:pPr>
        <w:jc w:val="both"/>
        <w:rPr>
          <w:b/>
        </w:rPr>
      </w:pPr>
      <w:r w:rsidRPr="00D81E11">
        <w:rPr>
          <w:b/>
        </w:rPr>
        <w:lastRenderedPageBreak/>
        <w:t>INVESTIGACIÓN</w:t>
      </w:r>
    </w:p>
    <w:p w:rsidR="00A26049" w:rsidRPr="00D81E11" w:rsidRDefault="00A26049" w:rsidP="00015DBB">
      <w:pPr>
        <w:jc w:val="both"/>
        <w:rPr>
          <w:b/>
        </w:rPr>
      </w:pPr>
      <w:r>
        <w:rPr>
          <w:b/>
        </w:rPr>
        <w:t>Objetivos:</w:t>
      </w:r>
    </w:p>
    <w:p w:rsidR="00953AEC" w:rsidRDefault="00953AEC" w:rsidP="00953AEC">
      <w:pPr>
        <w:pStyle w:val="Prrafodelista"/>
        <w:numPr>
          <w:ilvl w:val="0"/>
          <w:numId w:val="4"/>
        </w:numPr>
        <w:jc w:val="both"/>
      </w:pPr>
      <w:r>
        <w:t xml:space="preserve">Objetivo general: Conocer la evolución de la legislación española en lo </w:t>
      </w:r>
      <w:r w:rsidR="00CA1B2A">
        <w:t>relacionado</w:t>
      </w:r>
      <w:r>
        <w:t xml:space="preserve"> con acc</w:t>
      </w:r>
      <w:r w:rsidR="00CA1B2A">
        <w:t xml:space="preserve">esibilidad web evaluando </w:t>
      </w:r>
      <w:r>
        <w:t xml:space="preserve">sitios de interés </w:t>
      </w:r>
      <w:r w:rsidR="00CA1B2A">
        <w:t>social.</w:t>
      </w:r>
    </w:p>
    <w:p w:rsidR="00953AEC" w:rsidRDefault="00D81E11" w:rsidP="00953AEC">
      <w:pPr>
        <w:pStyle w:val="Prrafodelista"/>
        <w:numPr>
          <w:ilvl w:val="0"/>
          <w:numId w:val="4"/>
        </w:numPr>
        <w:jc w:val="both"/>
      </w:pPr>
      <w:r w:rsidRPr="00D81E11">
        <w:t xml:space="preserve">Objetivos específicos </w:t>
      </w:r>
    </w:p>
    <w:p w:rsidR="00953AEC" w:rsidRPr="00953AEC" w:rsidRDefault="00953AEC" w:rsidP="009D6B2E">
      <w:pPr>
        <w:pStyle w:val="Prrafodelista"/>
        <w:numPr>
          <w:ilvl w:val="1"/>
          <w:numId w:val="13"/>
        </w:numPr>
        <w:jc w:val="both"/>
      </w:pPr>
      <w:r w:rsidRPr="00953AEC">
        <w:t>Verificar en los sitios</w:t>
      </w:r>
      <w:r w:rsidR="00D81E11" w:rsidRPr="00953AEC">
        <w:t xml:space="preserve"> web analizados, el nivel de conformidad de la accesibilidad,</w:t>
      </w:r>
      <w:r w:rsidRPr="00953AEC">
        <w:t xml:space="preserve"> utilizando la guía </w:t>
      </w:r>
      <w:r w:rsidR="00D81E11" w:rsidRPr="00953AEC">
        <w:t xml:space="preserve">WCAG 2.0. </w:t>
      </w:r>
    </w:p>
    <w:p w:rsidR="00D81E11" w:rsidRDefault="00D81E11" w:rsidP="009D6B2E">
      <w:pPr>
        <w:pStyle w:val="Prrafodelista"/>
        <w:numPr>
          <w:ilvl w:val="1"/>
          <w:numId w:val="13"/>
        </w:numPr>
        <w:jc w:val="both"/>
      </w:pPr>
      <w:r w:rsidRPr="00953AEC">
        <w:t>Identificar los problemas de accesibil</w:t>
      </w:r>
      <w:r w:rsidR="00CA1B2A">
        <w:t>idad más comunes en los sitios</w:t>
      </w:r>
      <w:r w:rsidRPr="00953AEC">
        <w:t xml:space="preserve"> web analizados.</w:t>
      </w:r>
    </w:p>
    <w:p w:rsidR="0065028A" w:rsidRDefault="0065028A" w:rsidP="0065028A">
      <w:pPr>
        <w:pStyle w:val="Prrafodelista"/>
        <w:ind w:left="1440"/>
        <w:jc w:val="both"/>
      </w:pPr>
    </w:p>
    <w:p w:rsidR="00EB0C42" w:rsidRPr="001D06BE" w:rsidRDefault="00EB0C42" w:rsidP="00EB0C42">
      <w:pPr>
        <w:pStyle w:val="Prrafodelista"/>
        <w:ind w:left="0"/>
        <w:jc w:val="both"/>
        <w:rPr>
          <w:b/>
        </w:rPr>
      </w:pPr>
      <w:r w:rsidRPr="001D06BE">
        <w:rPr>
          <w:b/>
        </w:rPr>
        <w:t>Metodología:</w:t>
      </w:r>
    </w:p>
    <w:p w:rsidR="00EB0C42" w:rsidRPr="00953AEC" w:rsidRDefault="00EB0C42" w:rsidP="0065028A">
      <w:pPr>
        <w:pStyle w:val="Prrafodelista"/>
        <w:ind w:left="1440"/>
        <w:jc w:val="both"/>
      </w:pPr>
    </w:p>
    <w:p w:rsidR="0065028A" w:rsidRDefault="0065028A" w:rsidP="00EB0C42">
      <w:pPr>
        <w:ind w:left="360"/>
        <w:jc w:val="both"/>
      </w:pPr>
      <w:r w:rsidRPr="0065028A">
        <w:t xml:space="preserve">Enfoque </w:t>
      </w:r>
      <w:r w:rsidR="00FA28D6">
        <w:t>de Investigación: Cuantitativo.</w:t>
      </w:r>
    </w:p>
    <w:p w:rsidR="00FA28D6" w:rsidRDefault="00FA28D6" w:rsidP="00FA28D6">
      <w:pPr>
        <w:ind w:left="360"/>
        <w:jc w:val="both"/>
      </w:pPr>
      <w:r w:rsidRPr="00FA28D6">
        <w:t xml:space="preserve">La metodología cuantitativa se considera como un proceso secuencial y probatorio. Se trata de determinar la fuerza de asociación o correlación entre variables, la generalización y objetivación de los resultados a través de una muestra para hacer inferencia a una población de la cual toda muestra procede. </w:t>
      </w:r>
      <w:r w:rsidR="00F135AD" w:rsidRPr="00FA28D6">
        <w:fldChar w:fldCharType="begin" w:fldLock="1"/>
      </w:r>
      <w:r w:rsidRPr="00FA28D6">
        <w:instrText>ADDIN CSL_CITATION { "citationItems" : [ { "id" : "ITEM-1", "itemData" : { "ISSN" : "16651324", "PMID" : "8458284", "abstract" : "El art\u00edculo se refiere alos t\u00e9rminos de investigaci\u00f3n cuantitativa y la investigaci\u00f3n cualitativa. la primera es la que toma y analiza los datos cuantativos sobre variables y la segunda trabaja los registros narrativos que son estudiados por medio de t\u00e9cnicas de cada participante y las entrevistas.", "author" : [ { "dropping-particle" : "", "family" : "Fern\u00e1ndez", "given" : "S", "non-dropping-particle" : "", "parse-names" : false, "suffix" : "" }, { "dropping-particle" : "", "family" : "P\u00e9rtegas", "given" : "S", "non-dropping-particle" : "", "parse-names" : false, "suffix" : "" } ], "container-title" : "Cadena Atenci\u00f3n Primaria", "id" : "ITEM-1", "issue" : "Figura 1", "issued" : { "date-parts" : [ [ "2002" ] ] }, "page" : "76-78", "title" : "Investigaci\u00f3n cuantitativa y cualitativa.", "type" : "article-journal", "volume" : "9" }, "uris" : [ "http://www.mendeley.com/documents/?uuid=ac868fd6-066b-4f64-aeb6-1d7a6ab94b00", "http://www.mendeley.com/documents/?uuid=c78363e3-59ac-47a7-ac5b-5fad3fb7dda8" ] } ], "mendeley" : { "formattedCitation" : "(Fern\u00e1ndez &amp; P\u00e9rtegas, 2002)", "plainTextFormattedCitation" : "(Fern\u00e1ndez &amp; P\u00e9rtegas, 2002)", "previouslyFormattedCitation" : "(Fern\u00e1ndez &amp; P\u00e9rtegas, 2002)" }, "properties" : {  }, "schema" : "https://github.com/citation-style-language/schema/raw/master/csl-citation.json" }</w:instrText>
      </w:r>
      <w:r w:rsidR="00F135AD" w:rsidRPr="00FA28D6">
        <w:fldChar w:fldCharType="separate"/>
      </w:r>
      <w:r w:rsidRPr="00FA28D6">
        <w:rPr>
          <w:noProof/>
        </w:rPr>
        <w:t>(Fernández &amp; Pértegas, 2002)</w:t>
      </w:r>
      <w:r w:rsidR="00F135AD" w:rsidRPr="00FA28D6">
        <w:fldChar w:fldCharType="end"/>
      </w:r>
    </w:p>
    <w:p w:rsidR="00FA28D6" w:rsidRPr="00FA28D6" w:rsidRDefault="00FA28D6" w:rsidP="00FA28D6">
      <w:pPr>
        <w:ind w:left="360"/>
        <w:jc w:val="both"/>
      </w:pPr>
      <w:r w:rsidRPr="00FA28D6">
        <w:t>La metodología cuantitativa busca la objetividad máxima en la investigación, es decir, los resultados que arroje el proceso no deben ser influidos de ninguna manera por el investigador, para así evitar que sus creencias, prejuicios, u otros, influyan en los resultados del estudio o interfieran de alguna forma en estos, minimizando o eliminando las preferencias personales o subjetivas.</w:t>
      </w:r>
    </w:p>
    <w:p w:rsidR="00FA28D6" w:rsidRPr="00FA28D6" w:rsidRDefault="00FA28D6" w:rsidP="00FA28D6">
      <w:pPr>
        <w:ind w:left="360"/>
        <w:jc w:val="both"/>
      </w:pPr>
      <w:r w:rsidRPr="00FA28D6">
        <w:t xml:space="preserve">Según señala Fernández y Díaz, en general los métodos cuantitativos son muy potentes en términos de validez externa ya que con una muestra representativa de la población hacen inferencia a dicha población a partir de una muestra con una seguridad y precisión definida </w:t>
      </w:r>
      <w:r w:rsidR="00F135AD" w:rsidRPr="00FA28D6">
        <w:fldChar w:fldCharType="begin" w:fldLock="1"/>
      </w:r>
      <w:r w:rsidRPr="00FA28D6">
        <w:instrText>ADDIN CSL_CITATION { "citationItems" : [ { "id" : "ITEM-1", "itemData" : { "author" : [ { "dropping-particle" : "", "family" : "Pita Fern\u00e1ndez, S., &amp; P\u00e9rtegas D\u00edaz", "given" : "S.", "non-dropping-particle" : "", "parse-names" : false, "suffix" : "" } ], "container-title" : "Cad Aten Primaria", "id" : "ITEM-1", "issue" : "9", "issued" : { "date-parts" : [ [ "2002" ] ] }, "page" : "76-78", "title" : "Investigaci\u00f3n cuantitativa y cualitativa", "type" : "article-journal" }, "uris" : [ "http://www.mendeley.com/documents/?uuid=a1b85b64-3a28-4c99-9085-5786646e51c6", "http://www.mendeley.com/documents/?uuid=e085e29d-3432-49e2-bf32-52a4549d21c7" ] } ], "mendeley" : { "formattedCitation" : "(Pita Fern\u00e1ndez, S., &amp; P\u00e9rtegas D\u00edaz, 2002)", "plainTextFormattedCitation" : "(Pita Fern\u00e1ndez, S., &amp; P\u00e9rtegas D\u00edaz, 2002)", "previouslyFormattedCitation" : "(Pita Fern\u00e1ndez, S., &amp; P\u00e9rtegas D\u00edaz, 2002)" }, "properties" : {  }, "schema" : "https://github.com/citation-style-language/schema/raw/master/csl-citation.json" }</w:instrText>
      </w:r>
      <w:r w:rsidR="00F135AD" w:rsidRPr="00FA28D6">
        <w:fldChar w:fldCharType="separate"/>
      </w:r>
      <w:r w:rsidRPr="00FA28D6">
        <w:rPr>
          <w:noProof/>
        </w:rPr>
        <w:t>(Pita Fernández, S., &amp; Pértegas Díaz, 2002)</w:t>
      </w:r>
      <w:r w:rsidR="00F135AD" w:rsidRPr="00FA28D6">
        <w:fldChar w:fldCharType="end"/>
      </w:r>
    </w:p>
    <w:p w:rsidR="0065028A" w:rsidRPr="0065028A" w:rsidRDefault="0065028A" w:rsidP="00EB0C42">
      <w:pPr>
        <w:ind w:left="360"/>
        <w:jc w:val="both"/>
      </w:pPr>
      <w:r w:rsidRPr="0065028A">
        <w:t xml:space="preserve">Diseño de Investigación: no experimental considerando las variables asociadas al problema de investigación además de la posibilidad de generalizar los resultados, de tipo </w:t>
      </w:r>
      <w:proofErr w:type="spellStart"/>
      <w:r w:rsidRPr="0065028A">
        <w:t>transeccional</w:t>
      </w:r>
      <w:proofErr w:type="spellEnd"/>
      <w:r w:rsidRPr="0065028A">
        <w:t xml:space="preserve"> - descriptivo. </w:t>
      </w:r>
    </w:p>
    <w:p w:rsidR="0065028A" w:rsidRDefault="0065028A" w:rsidP="00FA28D6">
      <w:pPr>
        <w:pStyle w:val="Prrafodelista"/>
        <w:ind w:left="1440"/>
        <w:jc w:val="both"/>
      </w:pPr>
      <w:r w:rsidRPr="0065028A">
        <w:t xml:space="preserve">Los diseños </w:t>
      </w:r>
      <w:proofErr w:type="spellStart"/>
      <w:r w:rsidRPr="0065028A">
        <w:t>transeccionales</w:t>
      </w:r>
      <w:proofErr w:type="spellEnd"/>
      <w:r w:rsidRPr="0065028A">
        <w:t xml:space="preserve"> realizan observaciones en un momento único en el tiempo. Cuando recolectan datos sobre cada una de las categorías, conceptos, variables, contextos, comunidades o fenómenos, y reportan lo que arrojan</w:t>
      </w:r>
      <w:r w:rsidR="00583A63">
        <w:t>,</w:t>
      </w:r>
      <w:r w:rsidRPr="0065028A">
        <w:t xml:space="preserve"> esos datos </w:t>
      </w:r>
      <w:r w:rsidR="00583A63">
        <w:t xml:space="preserve">son </w:t>
      </w:r>
      <w:r w:rsidRPr="0065028A">
        <w:t xml:space="preserve">descriptivos. </w:t>
      </w:r>
      <w:r w:rsidR="00F135AD">
        <w:fldChar w:fldCharType="begin" w:fldLock="1"/>
      </w:r>
      <w:r w:rsidR="00C527E3">
        <w:instrText>ADDIN CSL_CITATION { "citationItems" : [ { "id" : "ITEM-1", "itemData" : { "author" : [ { "dropping-particle" : "", "family" : "Hern\u00e1ndez Sampieri, R., Fern\u00e1ndez Collado, C., &amp; Baptista Lucio", "given" : "P.", "non-dropping-particle" : "", "parse-names" : false, "suffix" : "" } ], "id" : "ITEM-1", "issued" : { "date-parts" : [ [ "2010" ] ] }, "title" : "Metodolog\u00eda de la Investigaci\u00f3n", "type" : "article-journal" }, "uris" : [ "http://www.mendeley.com/documents/?uuid=40866869-35b6-449a-b0c9-4af0af8dc85e" ] } ], "mendeley" : { "formattedCitation" : "(Hern\u00e1ndez Sampieri, R., Fern\u00e1ndez Collado, C., &amp; Baptista Lucio, 2010)", "plainTextFormattedCitation" : "(Hern\u00e1ndez Sampieri, R., Fern\u00e1ndez Collado, C., &amp; Baptista Lucio, 2010)", "previouslyFormattedCitation" : "(Hern\u00e1ndez Sampieri, R., Fern\u00e1ndez Collado, C., &amp; Baptista Lucio, 2010)" }, "properties" : {  }, "schema" : "https://github.com/citation-style-language/schema/raw/master/csl-citation.json" }</w:instrText>
      </w:r>
      <w:r w:rsidR="00F135AD">
        <w:fldChar w:fldCharType="separate"/>
      </w:r>
      <w:r w:rsidR="00863B2F" w:rsidRPr="00863B2F">
        <w:rPr>
          <w:noProof/>
        </w:rPr>
        <w:t>(Hernández Sampieri, R., Fernández Collado, C., &amp; Baptista Lucio, 2010)</w:t>
      </w:r>
      <w:r w:rsidR="00F135AD">
        <w:fldChar w:fldCharType="end"/>
      </w:r>
    </w:p>
    <w:p w:rsidR="00FA28D6" w:rsidRDefault="00FA28D6" w:rsidP="00015DBB">
      <w:pPr>
        <w:jc w:val="both"/>
        <w:rPr>
          <w:b/>
        </w:rPr>
      </w:pPr>
    </w:p>
    <w:p w:rsidR="00FA28D6" w:rsidRDefault="00FA28D6" w:rsidP="00015DBB">
      <w:pPr>
        <w:jc w:val="both"/>
        <w:rPr>
          <w:b/>
        </w:rPr>
      </w:pPr>
    </w:p>
    <w:p w:rsidR="00EE59F4" w:rsidRDefault="00EE59F4" w:rsidP="00015DBB">
      <w:pPr>
        <w:jc w:val="both"/>
        <w:rPr>
          <w:b/>
        </w:rPr>
      </w:pPr>
    </w:p>
    <w:p w:rsidR="00EE59F4" w:rsidRDefault="00EE59F4" w:rsidP="00015DBB">
      <w:pPr>
        <w:jc w:val="both"/>
        <w:rPr>
          <w:b/>
        </w:rPr>
      </w:pPr>
    </w:p>
    <w:p w:rsidR="00D81E11" w:rsidRDefault="00A26049" w:rsidP="00015DBB">
      <w:pPr>
        <w:jc w:val="both"/>
        <w:rPr>
          <w:b/>
        </w:rPr>
      </w:pPr>
      <w:r w:rsidRPr="00A26049">
        <w:rPr>
          <w:b/>
        </w:rPr>
        <w:lastRenderedPageBreak/>
        <w:t>Procedimiento</w:t>
      </w:r>
    </w:p>
    <w:p w:rsidR="00FA28D6" w:rsidRPr="00BD08BE" w:rsidRDefault="00FA28D6" w:rsidP="00BD08BE">
      <w:pPr>
        <w:jc w:val="both"/>
      </w:pPr>
      <w:r w:rsidRPr="00BD08BE">
        <w:t xml:space="preserve">Se realizaron dos importantes procesos, análisis de la legislación española </w:t>
      </w:r>
      <w:r w:rsidR="00BD08BE" w:rsidRPr="00BD08BE">
        <w:t xml:space="preserve">desde sus orígenes hasta la actualidad y definición de la herramienta de evaluación de accesibilidad web, considerando tenga el reconocimiento del </w:t>
      </w:r>
      <w:r w:rsidR="00BD08BE" w:rsidRPr="0065028A">
        <w:t>Centro Tecnológico de la Información y la Comunicación</w:t>
      </w:r>
      <w:r w:rsidR="00BD08BE">
        <w:t xml:space="preserve"> (Fundación CTIC).</w:t>
      </w:r>
    </w:p>
    <w:p w:rsidR="0065028A" w:rsidRDefault="0065028A" w:rsidP="00807E4D">
      <w:pPr>
        <w:pStyle w:val="Prrafodelista"/>
        <w:numPr>
          <w:ilvl w:val="0"/>
          <w:numId w:val="5"/>
        </w:numPr>
        <w:jc w:val="both"/>
      </w:pPr>
      <w:r w:rsidRPr="00671300">
        <w:rPr>
          <w:b/>
        </w:rPr>
        <w:t>Análisis de la legislación</w:t>
      </w:r>
      <w:r>
        <w:t xml:space="preserve"> internacional y nacional española par</w:t>
      </w:r>
      <w:r w:rsidR="00863B2F">
        <w:t>a conocer su evolución en cuento</w:t>
      </w:r>
      <w:r>
        <w:t xml:space="preserve"> a accesibilidad. Se realizó un análisis riguroso de la</w:t>
      </w:r>
      <w:r w:rsidR="00671300">
        <w:t>s</w:t>
      </w:r>
      <w:r>
        <w:t xml:space="preserve"> normativas, </w:t>
      </w:r>
      <w:r w:rsidR="00863B2F">
        <w:t>r</w:t>
      </w:r>
      <w:r>
        <w:t>eales</w:t>
      </w:r>
      <w:r w:rsidR="00863B2F">
        <w:t xml:space="preserve"> decretos, b</w:t>
      </w:r>
      <w:r>
        <w:t xml:space="preserve">oletines </w:t>
      </w:r>
      <w:r w:rsidR="00863B2F">
        <w:t>oficiales e</w:t>
      </w:r>
      <w:r>
        <w:t>spañoles (BOE)</w:t>
      </w:r>
      <w:r w:rsidR="006E3A2A">
        <w:t>, l</w:t>
      </w:r>
      <w:r>
        <w:t>eyes específicas, artículos relacionados, derogaciones, entre otros, lo que permite evidenciar la evolución legislativ</w:t>
      </w:r>
      <w:r w:rsidR="00A26049">
        <w:t>a en cuanta a accesibilidad web hasta la actualidad.</w:t>
      </w:r>
    </w:p>
    <w:p w:rsidR="00807E4D" w:rsidRPr="00671300" w:rsidRDefault="0065028A" w:rsidP="00807E4D">
      <w:pPr>
        <w:pStyle w:val="Prrafodelista"/>
        <w:numPr>
          <w:ilvl w:val="0"/>
          <w:numId w:val="5"/>
        </w:numPr>
        <w:jc w:val="both"/>
        <w:rPr>
          <w:b/>
        </w:rPr>
      </w:pPr>
      <w:r w:rsidRPr="00671300">
        <w:rPr>
          <w:b/>
        </w:rPr>
        <w:t>Definición de la h</w:t>
      </w:r>
      <w:r w:rsidR="00807E4D" w:rsidRPr="00671300">
        <w:rPr>
          <w:b/>
        </w:rPr>
        <w:t>erramienta de análisis</w:t>
      </w:r>
    </w:p>
    <w:p w:rsidR="00807E4D" w:rsidRPr="0065028A" w:rsidRDefault="00807E4D" w:rsidP="0065028A">
      <w:pPr>
        <w:pStyle w:val="Prrafodelista"/>
        <w:jc w:val="both"/>
      </w:pPr>
      <w:r w:rsidRPr="0065028A">
        <w:t>Para la evaluació</w:t>
      </w:r>
      <w:r w:rsidR="00793B78">
        <w:t>n de la accesibilidad web se ha</w:t>
      </w:r>
      <w:r w:rsidRPr="0065028A">
        <w:t xml:space="preserve"> utilizado</w:t>
      </w:r>
      <w:r w:rsidR="006E3A2A">
        <w:t xml:space="preserve"> una</w:t>
      </w:r>
      <w:r w:rsidR="00793B78">
        <w:t xml:space="preserve"> herramienta</w:t>
      </w:r>
      <w:r w:rsidRPr="0065028A">
        <w:t xml:space="preserve"> disponible</w:t>
      </w:r>
      <w:r w:rsidR="00A26049">
        <w:t xml:space="preserve"> en línea</w:t>
      </w:r>
      <w:r w:rsidRPr="0065028A">
        <w:t xml:space="preserve"> que permiten automatizar este proceso, según las pautas WCAG 2.0. </w:t>
      </w:r>
    </w:p>
    <w:p w:rsidR="00D1615D" w:rsidRPr="00953AEC" w:rsidRDefault="00807E4D" w:rsidP="00D1615D">
      <w:pPr>
        <w:pStyle w:val="Prrafodelista"/>
        <w:numPr>
          <w:ilvl w:val="0"/>
          <w:numId w:val="6"/>
        </w:numPr>
        <w:jc w:val="both"/>
      </w:pPr>
      <w:r w:rsidRPr="0065028A">
        <w:t>Las herramientas automáticas de evaluación de la accesibilidad web son programas de software o servicios en línea, que realizan una inspección automática para ayudar a determinar si un sitio web satisface las guías o normas de accesibilidad web.   Existen numerosas herramientas automáticas para la evaluación de la</w:t>
      </w:r>
      <w:r w:rsidRPr="009E4C4D">
        <w:rPr>
          <w:rFonts w:ascii="Arial" w:hAnsi="Arial" w:cs="Arial"/>
          <w:sz w:val="24"/>
          <w:szCs w:val="24"/>
        </w:rPr>
        <w:t xml:space="preserve"> </w:t>
      </w:r>
      <w:r w:rsidRPr="0065028A">
        <w:t>accesibilidad web</w:t>
      </w:r>
      <w:r w:rsidR="006E3A2A">
        <w:t xml:space="preserve"> </w:t>
      </w:r>
      <w:r w:rsidR="00F135AD">
        <w:fldChar w:fldCharType="begin" w:fldLock="1"/>
      </w:r>
      <w:r w:rsidR="00C527E3">
        <w:instrText>ADDIN CSL_CITATION { "citationItems" : [ { "id" : "ITEM-1", "itemData" : { "URL" : "http://accesibilidadweb.dlsi.ua.es/?menu=hr-revision-automaticas", "author" : [ { "dropping-particle" : "", "family" : "Luj\u00e1n Mora", "given" : "Sergio", "non-dropping-particle" : "", "parse-names" : false, "suffix" : "" } ], "container-title" : "Universidad de Alicante", "id" : "ITEM-1", "issued" : { "date-parts" : [ [ "2018" ] ] }, "title" : "Herramientas de revisi\u00f3n autom\u00e1tica de la accesibilidad web", "type" : "webpage" }, "uris" : [ "http://www.mendeley.com/documents/?uuid=bf85c700-e30e-4945-bb24-ec52920ab1d3" ] } ], "mendeley" : { "formattedCitation" : "(Luj\u00e1n Mora, 2018)", "plainTextFormattedCitation" : "(Luj\u00e1n Mora, 2018)", "previouslyFormattedCitation" : "(Luj\u00e1n Mora, 2018)" }, "properties" : {  }, "schema" : "https://github.com/citation-style-language/schema/raw/master/csl-citation.json" }</w:instrText>
      </w:r>
      <w:r w:rsidR="00F135AD">
        <w:fldChar w:fldCharType="separate"/>
      </w:r>
      <w:r w:rsidR="00C527E3" w:rsidRPr="00C527E3">
        <w:rPr>
          <w:noProof/>
        </w:rPr>
        <w:t>(Luján Mora, 2018)</w:t>
      </w:r>
      <w:r w:rsidR="00F135AD">
        <w:fldChar w:fldCharType="end"/>
      </w:r>
      <w:r w:rsidRPr="0065028A">
        <w:t xml:space="preserve">, pero considerando las definiciones establecidas desde el Servicio Nacional de la Discapacidad y sus recomendaciones, se ha optado por la herramienta automatizada </w:t>
      </w:r>
      <w:r w:rsidR="00863B2F">
        <w:t>TAW</w:t>
      </w:r>
      <w:r w:rsidR="00863B2F" w:rsidRPr="006538AF">
        <w:rPr>
          <w:rStyle w:val="Refdenotaalpie"/>
        </w:rPr>
        <w:footnoteReference w:id="3"/>
      </w:r>
      <w:r w:rsidR="00863B2F">
        <w:t xml:space="preserve">. </w:t>
      </w:r>
      <w:r w:rsidRPr="0065028A">
        <w:t>La herramienta TAW de evaluación de la accesibilidad web desarrollada por la Fundación CTIC (Centro Tecnológico de la Información y la Comunicación), sede del W3C en España, está en línea desde abril de 2001 y fue el primer verificador de la accesibilidad web en español. TAW evalúa de forma automática el nivel de conformidad de las pautas de la WCAG 1.0 y WCAG 2.0, pero como se mencionó anteriormente nos remitiremos a las pautas WCAG 2.0.</w:t>
      </w:r>
      <w:r w:rsidR="00D1615D">
        <w:t xml:space="preserve"> considerando la normativa vigente.</w:t>
      </w:r>
      <w:r w:rsidRPr="0065028A">
        <w:t xml:space="preserve">  </w:t>
      </w:r>
      <w:r w:rsidR="00A77906">
        <w:t>TAW</w:t>
      </w:r>
      <w:r w:rsidRPr="0065028A">
        <w:t xml:space="preserve"> genera un reporte de salida en el que aparecen los resultados del análisis, indicando el número de problemas detectados, en relación al nivel de prioridad del criterio de verificación correspondiente a la guía con la que se evalúa. Estos informes de evaluación no son definitivos, pero constituyen una primera etapa en el proceso de revisión.  </w:t>
      </w:r>
    </w:p>
    <w:p w:rsidR="00807E4D" w:rsidRPr="0065028A" w:rsidRDefault="00807E4D" w:rsidP="0065028A">
      <w:pPr>
        <w:pStyle w:val="Prrafodelista"/>
        <w:jc w:val="both"/>
      </w:pPr>
    </w:p>
    <w:p w:rsidR="00807E4D" w:rsidRPr="00D1615D" w:rsidRDefault="00807E4D" w:rsidP="00D1615D">
      <w:pPr>
        <w:ind w:left="360"/>
        <w:jc w:val="both"/>
        <w:rPr>
          <w:b/>
        </w:rPr>
      </w:pPr>
      <w:r w:rsidRPr="00D1615D">
        <w:rPr>
          <w:b/>
        </w:rPr>
        <w:t>Recomendaciones y Principios de la WAI</w:t>
      </w:r>
      <w:r w:rsidRPr="006538AF">
        <w:rPr>
          <w:rStyle w:val="Refdenotaalpie"/>
        </w:rPr>
        <w:footnoteReference w:id="4"/>
      </w:r>
      <w:r w:rsidRPr="00D1615D">
        <w:rPr>
          <w:b/>
          <w:vertAlign w:val="superscript"/>
        </w:rPr>
        <w:t xml:space="preserve"> </w:t>
      </w:r>
    </w:p>
    <w:p w:rsidR="00807E4D" w:rsidRPr="00D1615D" w:rsidRDefault="00807E4D" w:rsidP="00D1615D">
      <w:pPr>
        <w:ind w:left="360"/>
        <w:jc w:val="both"/>
      </w:pPr>
      <w:r w:rsidRPr="00D1615D">
        <w:t xml:space="preserve">Estas recomendaciones se agrupan de acuerdo a 4 Principios que definen a un sitio Web accesible, estos son: </w:t>
      </w:r>
    </w:p>
    <w:p w:rsidR="00807E4D" w:rsidRPr="00D1615D" w:rsidRDefault="00807E4D" w:rsidP="00D1615D">
      <w:pPr>
        <w:ind w:left="360"/>
        <w:jc w:val="both"/>
      </w:pPr>
      <w:r w:rsidRPr="00D1615D">
        <w:t>Perceptible: significa que el usuario debe poder acceder a la información y que esté disponible para los sentidos (visión y audición principalmente).</w:t>
      </w:r>
    </w:p>
    <w:p w:rsidR="00807E4D" w:rsidRPr="00D1615D" w:rsidRDefault="00807E4D" w:rsidP="00D1615D">
      <w:pPr>
        <w:ind w:left="360"/>
        <w:jc w:val="both"/>
      </w:pPr>
      <w:r w:rsidRPr="00D1615D">
        <w:t>Operable: que el usuario debe poder navegar por la web.</w:t>
      </w:r>
    </w:p>
    <w:p w:rsidR="00807E4D" w:rsidRPr="00D1615D" w:rsidRDefault="00807E4D" w:rsidP="00D1615D">
      <w:pPr>
        <w:ind w:left="360"/>
        <w:jc w:val="both"/>
      </w:pPr>
      <w:r w:rsidRPr="00D1615D">
        <w:lastRenderedPageBreak/>
        <w:t>Comprensible: que debe entenderse la información que hay contenida en la página web.</w:t>
      </w:r>
    </w:p>
    <w:p w:rsidR="00807E4D" w:rsidRPr="00D1615D" w:rsidRDefault="00807E4D" w:rsidP="00D1615D">
      <w:pPr>
        <w:ind w:left="360"/>
        <w:jc w:val="both"/>
      </w:pPr>
      <w:r w:rsidRPr="00D1615D">
        <w:t>Robusto: que la accesibilidad no debe depender de la tecnología empleada para acceder a la página web.</w:t>
      </w:r>
    </w:p>
    <w:p w:rsidR="00807E4D" w:rsidRPr="00D1615D" w:rsidRDefault="00807E4D" w:rsidP="00D1615D">
      <w:pPr>
        <w:ind w:left="360"/>
        <w:jc w:val="both"/>
      </w:pPr>
      <w:r w:rsidRPr="00D1615D">
        <w:t xml:space="preserve">Cada recomendación contiene uno o más puntos de </w:t>
      </w:r>
      <w:proofErr w:type="spellStart"/>
      <w:r w:rsidRPr="00D1615D">
        <w:t>veriﬁcación</w:t>
      </w:r>
      <w:proofErr w:type="spellEnd"/>
      <w:r w:rsidRPr="00D1615D">
        <w:t xml:space="preserve"> que explican cómo ésta debe ser aplicada, y a su vez, cada punto tiene asignada una prioridad que indica el impacto del punto de </w:t>
      </w:r>
      <w:proofErr w:type="spellStart"/>
      <w:r w:rsidRPr="00D1615D">
        <w:t>veriﬁcación</w:t>
      </w:r>
      <w:proofErr w:type="spellEnd"/>
      <w:r w:rsidRPr="00D1615D">
        <w:t xml:space="preserve"> en la accesibilidad del sitio.  </w:t>
      </w:r>
    </w:p>
    <w:p w:rsidR="00807E4D" w:rsidRPr="00D1615D" w:rsidRDefault="00807E4D" w:rsidP="00D1615D">
      <w:pPr>
        <w:ind w:left="360"/>
        <w:jc w:val="both"/>
      </w:pPr>
      <w:r w:rsidRPr="00D1615D">
        <w:t xml:space="preserve">Del conjunto de prioridades en el sitio, se definen tres niveles de conformidad: </w:t>
      </w:r>
    </w:p>
    <w:p w:rsidR="00807E4D" w:rsidRPr="00D1615D" w:rsidRDefault="00807E4D" w:rsidP="00D1615D">
      <w:pPr>
        <w:ind w:left="360"/>
        <w:jc w:val="both"/>
      </w:pPr>
      <w:r w:rsidRPr="00D1615D">
        <w:t>•</w:t>
      </w:r>
      <w:r w:rsidRPr="00D1615D">
        <w:tab/>
        <w:t xml:space="preserve">Nivel A: Todos los puntos de control de prioridad 1 son cumplidos. </w:t>
      </w:r>
    </w:p>
    <w:p w:rsidR="00807E4D" w:rsidRPr="00D1615D" w:rsidRDefault="00807E4D" w:rsidP="00D1615D">
      <w:pPr>
        <w:ind w:left="360"/>
        <w:jc w:val="both"/>
      </w:pPr>
      <w:r w:rsidRPr="00D1615D">
        <w:t>•</w:t>
      </w:r>
      <w:r w:rsidRPr="00D1615D">
        <w:tab/>
        <w:t xml:space="preserve">Nivel AA: Todos los puntos de control de prioridades 1 y 2 son cumplidos. </w:t>
      </w:r>
    </w:p>
    <w:p w:rsidR="00807E4D" w:rsidRPr="00D1615D" w:rsidRDefault="00807E4D" w:rsidP="00D1615D">
      <w:pPr>
        <w:ind w:left="360"/>
        <w:jc w:val="both"/>
      </w:pPr>
      <w:r w:rsidRPr="00D1615D">
        <w:t>•</w:t>
      </w:r>
      <w:r w:rsidRPr="00D1615D">
        <w:tab/>
        <w:t>Nivel AAA: Todos los puntos de control de prioridades 1, 2 y 3 son cumplidos.</w:t>
      </w:r>
    </w:p>
    <w:p w:rsidR="00807E4D" w:rsidRPr="00D1615D" w:rsidRDefault="00807E4D" w:rsidP="00D1615D">
      <w:pPr>
        <w:ind w:left="360"/>
        <w:jc w:val="both"/>
      </w:pPr>
      <w:r w:rsidRPr="00D1615D">
        <w:t xml:space="preserve">Considerando los criterios de conformidad de la </w:t>
      </w:r>
      <w:r w:rsidR="00F8584A" w:rsidRPr="00D1615D">
        <w:t xml:space="preserve">WAI </w:t>
      </w:r>
      <w:r w:rsidRPr="00D1615D">
        <w:t xml:space="preserve">se establecen una cantidad de criterios de acuerdo al Nivel de conformidad, quedando para los niveles </w:t>
      </w:r>
      <w:proofErr w:type="gramStart"/>
      <w:r w:rsidRPr="00D1615D">
        <w:t>A</w:t>
      </w:r>
      <w:proofErr w:type="gramEnd"/>
      <w:r w:rsidRPr="00D1615D">
        <w:t xml:space="preserve"> y AA de la siguiente forma:</w:t>
      </w:r>
    </w:p>
    <w:p w:rsidR="00807E4D" w:rsidRPr="00D1615D" w:rsidRDefault="00807E4D" w:rsidP="00D1615D">
      <w:pPr>
        <w:ind w:left="360"/>
        <w:jc w:val="both"/>
      </w:pPr>
      <w:r w:rsidRPr="00D1615D">
        <w:t>Criterios de conformidad Nivel A: 25 criterios</w:t>
      </w:r>
    </w:p>
    <w:p w:rsidR="00807E4D" w:rsidRDefault="00807E4D" w:rsidP="00D1615D">
      <w:pPr>
        <w:ind w:left="360"/>
        <w:jc w:val="both"/>
      </w:pPr>
      <w:r w:rsidRPr="00D1615D">
        <w:t>Criterios de conformidad Nivel AA: 13 criterios</w:t>
      </w:r>
    </w:p>
    <w:p w:rsidR="006E3A2A" w:rsidRPr="00C67D9D" w:rsidRDefault="006E3A2A" w:rsidP="00C67D9D">
      <w:pPr>
        <w:jc w:val="both"/>
        <w:rPr>
          <w:b/>
        </w:rPr>
      </w:pPr>
      <w:r w:rsidRPr="00C67D9D">
        <w:rPr>
          <w:b/>
        </w:rPr>
        <w:t>Análisis legislación Internacional y nacional</w:t>
      </w:r>
    </w:p>
    <w:p w:rsidR="006E3A2A" w:rsidRDefault="006E3A2A" w:rsidP="00C67D9D">
      <w:pPr>
        <w:jc w:val="both"/>
      </w:pPr>
      <w:r>
        <w:t xml:space="preserve">Para comprender en forma integral la legislación española es conveniente iniciar el análisis a la legislación internacional, considerando que sirven de referencia para muchos países cuando se legisla en torno al tema, por tanto se inicia el análisis de la legislación internacional, luego a nivel de unión europea y </w:t>
      </w:r>
      <w:r w:rsidR="00C67D9D">
        <w:t>finalmente legislación española.</w:t>
      </w:r>
    </w:p>
    <w:p w:rsidR="00B72A67" w:rsidRPr="00D1615D" w:rsidRDefault="00A77906" w:rsidP="00015DBB">
      <w:pPr>
        <w:jc w:val="both"/>
        <w:rPr>
          <w:b/>
        </w:rPr>
      </w:pPr>
      <w:r>
        <w:rPr>
          <w:b/>
        </w:rPr>
        <w:t>Legislación Internacional</w:t>
      </w:r>
    </w:p>
    <w:p w:rsidR="002F2FF1" w:rsidRDefault="000A1345" w:rsidP="00015DBB">
      <w:pPr>
        <w:jc w:val="both"/>
      </w:pPr>
      <w:r>
        <w:t>La declaración universal de d</w:t>
      </w:r>
      <w:r w:rsidR="002F2FF1">
        <w:t>erechos</w:t>
      </w:r>
      <w:r>
        <w:t xml:space="preserve"> h</w:t>
      </w:r>
      <w:r w:rsidR="002F2FF1">
        <w:t xml:space="preserve">umanos proclamada el 10 de diciembre de 1948 </w:t>
      </w:r>
      <w:r w:rsidR="00F135AD">
        <w:fldChar w:fldCharType="begin" w:fldLock="1"/>
      </w:r>
      <w:r w:rsidR="00C527E3">
        <w:instrText>ADDIN CSL_CITATION { "citationItems" : [ { "id" : "ITEM-1", "itemData" : { "abstract" : "Proclama la presente Declaraci\u00f3n Universal de Derechos Humanos como ideal com\u00fan por el que todos los pueblos y naciones deben esforzarse, a fin de que tanto los individuos como las instituciones, inspir\u00e1ndose constantemente en ella, promuevan, mediante la ense\u00f1anza y la educaci\u00f3n, el respeto a estos derechos y libertades, y aseguren, por medidas progresivas de car\u00e1cter nacional e internacional, su reconocimiento y aplicaci\u00f3n universales y efectivos, tanto entre los pueblos de los Estados Miembros como entre los de los territorios colocados bajo su jurisdicci\u00f3n. Art\u00edculo 1 Todos los seres humanos nacen libres e iguales en dignidad y derechos y, dotados como est\u00e1n de raz\u00f3n y conciencia, deben comportarse fraternalmente los unos con los otros. Art\u00edculo 2 Toda persona tiene los derechos y libertades proclamados en esta Declaraci\u00f3n, sin distinci\u00f3n alguna de raza, color, sexo, idioma, religi\u00f3n, opini\u00f3n pol\u00edtica o de cualquier otra \u00edndole, origen nacional o social, posici\u00f3n econ\u00f3mica, nacimiento o cualquier otra condici\u00f3n. Adem\u00e1s, no se har\u00e1 distinci\u00f3n alguna fundada en la condici\u00f3n pol\u00edtica, jur\u00eddica o internacional del pa\u00eds o territorio de cuya jurisdicci\u00f3n dependa una persona, tanto si se trata de un pa\u00eds independiente, como de un territorio bajo administraci\u00f3n fiduciaria, no aut\u00f3nomo o sometido a cualquier otra limitaci\u00f3n de soberan\u00eda. Art\u00edculo 3 Todo individuo tiene derecho a la vida, a la libertad y a la seguridad de su persona.", "author" : [ { "dropping-particle" : "", "family" : "UN", "given" : "", "non-dropping-particle" : "", "parse-names" : false, "suffix" : "" } ], "id" : "ITEM-1", "issued" : { "date-parts" : [ [ "1948" ] ] }, "title" : "Declaraci\u00f3n Universal de Derechos Humanos, Naciones Unidas.", "type" : "article-journal" }, "uris" : [ "http://www.mendeley.com/documents/?uuid=b02eaa0c-7c12-4961-9c50-2946391b5fd2" ] } ], "mendeley" : { "formattedCitation" : "(UN, 1948)", "plainTextFormattedCitation" : "(UN, 1948)", "previouslyFormattedCitation" : "(UN, 1948)" }, "properties" : {  }, "schema" : "https://github.com/citation-style-language/schema/raw/master/csl-citation.json" }</w:instrText>
      </w:r>
      <w:r w:rsidR="00F135AD">
        <w:fldChar w:fldCharType="separate"/>
      </w:r>
      <w:r w:rsidR="001B48AB" w:rsidRPr="001B48AB">
        <w:rPr>
          <w:noProof/>
        </w:rPr>
        <w:t>(UN, 1948)</w:t>
      </w:r>
      <w:r w:rsidR="00F135AD">
        <w:fldChar w:fldCharType="end"/>
      </w:r>
      <w:r w:rsidR="001B48AB">
        <w:t xml:space="preserve"> </w:t>
      </w:r>
      <w:r w:rsidR="001B48AB" w:rsidRPr="001B48AB">
        <w:t>es un documento que marca un hito en la historia de los derechos humanos</w:t>
      </w:r>
      <w:r w:rsidR="001B48AB">
        <w:t>, fue e</w:t>
      </w:r>
      <w:r w:rsidR="001B48AB" w:rsidRPr="001B48AB">
        <w:t>laborada por representantes de todas las regiones del mundo con diferentes anteceden</w:t>
      </w:r>
      <w:r>
        <w:t>tes jurídicos y culturales, la d</w:t>
      </w:r>
      <w:r w:rsidR="001B48AB" w:rsidRPr="001B48AB">
        <w:t>ec</w:t>
      </w:r>
      <w:r>
        <w:t>laración fue proclamada por la asamblea general de las naciones u</w:t>
      </w:r>
      <w:r w:rsidR="001B48AB" w:rsidRPr="001B48AB">
        <w:t>nidas en París, como un ideal común para todos los pueblos y naciones</w:t>
      </w:r>
      <w:r w:rsidR="00EA0E6F">
        <w:t>,</w:t>
      </w:r>
      <w:r w:rsidR="001B48AB" w:rsidRPr="001B48AB">
        <w:t xml:space="preserve"> establece, por primera vez, los derechos humanos fundamentales que deben protegerse en el mundo entero y ha sido </w:t>
      </w:r>
      <w:hyperlink r:id="rId9" w:history="1">
        <w:r w:rsidR="001B48AB" w:rsidRPr="001B48AB">
          <w:t>traducida en más de 500 idiomas</w:t>
        </w:r>
      </w:hyperlink>
      <w:r w:rsidR="001B48AB" w:rsidRPr="001B48AB">
        <w:t>. </w:t>
      </w:r>
    </w:p>
    <w:p w:rsidR="00B72A67" w:rsidRDefault="00B72A67" w:rsidP="00B72A67">
      <w:pPr>
        <w:jc w:val="both"/>
      </w:pPr>
      <w:r>
        <w:t>Las Naciones Unidas aprobaron el 20 de diciembre de 1993 las “</w:t>
      </w:r>
      <w:r w:rsidR="007E27A1">
        <w:t>normas u</w:t>
      </w:r>
      <w:r w:rsidRPr="00B72A67">
        <w:t>niformes sobre la igualdad de oportunidades para las personas con discapacidad</w:t>
      </w:r>
      <w:r>
        <w:t xml:space="preserve">” </w:t>
      </w:r>
      <w:r w:rsidR="00F135AD">
        <w:fldChar w:fldCharType="begin" w:fldLock="1"/>
      </w:r>
      <w:r w:rsidR="00C527E3">
        <w:instrText>ADDIN CSL_CITATION { "citationItems" : [ { "id" : "ITEM-1", "itemData" : { "author" : [ { "dropping-particle" : "", "family" : "UN", "given" : "", "non-dropping-particle" : "", "parse-names" : false, "suffix" : "" } ], "id" : "ITEM-1", "issued" : { "date-parts" : [ [ "1993" ] ] }, "title" : "Naciones Unidas. Normas Uniformes sobre la igualdad de oportunidades para las personas con discapacidad", "type" : "webpage" }, "uris" : [ "http://www.mendeley.com/documents/?uuid=0c0f7e99-70f6-45e7-a663-a10ac0db11e3" ] } ], "mendeley" : { "formattedCitation" : "(UN, 1993)", "plainTextFormattedCitation" : "(UN, 1993)", "previouslyFormattedCitation" : "(UN, 1993)" }, "properties" : {  }, "schema" : "https://github.com/citation-style-language/schema/raw/master/csl-citation.json" }</w:instrText>
      </w:r>
      <w:r w:rsidR="00F135AD">
        <w:fldChar w:fldCharType="separate"/>
      </w:r>
      <w:r w:rsidR="00F6518D" w:rsidRPr="00F6518D">
        <w:rPr>
          <w:noProof/>
        </w:rPr>
        <w:t>(UN, 1993)</w:t>
      </w:r>
      <w:r w:rsidR="00F135AD">
        <w:fldChar w:fldCharType="end"/>
      </w:r>
      <w:r w:rsidR="00D27BB8">
        <w:t>, q</w:t>
      </w:r>
      <w:r w:rsidR="007E27A1">
        <w:t xml:space="preserve">ue establece en su artículo 5. </w:t>
      </w:r>
      <w:proofErr w:type="gramStart"/>
      <w:r w:rsidR="007E27A1">
        <w:t>p</w:t>
      </w:r>
      <w:r w:rsidR="00D27BB8">
        <w:t>osibilidades</w:t>
      </w:r>
      <w:proofErr w:type="gramEnd"/>
      <w:r w:rsidR="00D27BB8">
        <w:t xml:space="preserve"> de acceso que “</w:t>
      </w:r>
      <w:r w:rsidR="00D27BB8" w:rsidRPr="00A96F52">
        <w:t>Los</w:t>
      </w:r>
      <w:r w:rsidR="00D27BB8">
        <w:rPr>
          <w:rFonts w:ascii="Arial" w:hAnsi="Arial" w:cs="Arial"/>
          <w:color w:val="000000"/>
          <w:shd w:val="clear" w:color="auto" w:fill="FFFFFF"/>
        </w:rPr>
        <w:t xml:space="preserve"> </w:t>
      </w:r>
      <w:r w:rsidR="007E27A1">
        <w:t>e</w:t>
      </w:r>
      <w:r w:rsidR="00D27BB8" w:rsidRPr="00D27BB8">
        <w:t xml:space="preserve">stados deben reconocer la importancia global de las posibilidades de acceso dentro del proceso de lograr la igualdad de oportunidades en todas las esferas de la sociedad. Para las personas con discapacidades de cualquier índole, </w:t>
      </w:r>
      <w:r w:rsidR="007E27A1">
        <w:t>los e</w:t>
      </w:r>
      <w:r w:rsidR="00D27BB8" w:rsidRPr="00D27BB8">
        <w:t>stados deben a) establecer programas de acción para que el entorno físico sea accesible y b) adoptar medidas para garantizar el acceso a la información y la comunicación.</w:t>
      </w:r>
      <w:r w:rsidR="00D27BB8">
        <w:t>”</w:t>
      </w:r>
    </w:p>
    <w:p w:rsidR="007E1284" w:rsidRDefault="007E1284" w:rsidP="00B72A67">
      <w:pPr>
        <w:jc w:val="both"/>
      </w:pPr>
      <w:r>
        <w:lastRenderedPageBreak/>
        <w:t>La Convención de las Naciones Unidas sobre los derechos de las personas con discapacidad</w:t>
      </w:r>
      <w:r w:rsidR="00E56726">
        <w:t xml:space="preserve"> </w:t>
      </w:r>
      <w:r w:rsidR="00F135AD">
        <w:fldChar w:fldCharType="begin" w:fldLock="1"/>
      </w:r>
      <w:r w:rsidR="00C527E3">
        <w:instrText>ADDIN CSL_CITATION { "citationItems" : [ { "id" : "ITEM-1", "itemData" : { "DOI" : "10.1017/CBO9781107415324.004", "ISBN" : "9788434022461", "ISSN" : "1098-6596", "PMID" : "25246403", "abstract" : "1. Real Decreto Legislativo 1/2013, de 29 de noviembre, por el que se aprueba el Texto Refundido de la Ley General de derechos de las personas con discapacidad y de su inclusi\u00f3n social.", "author" : [ { "dropping-particle" : "", "family" : "UN", "given" : "", "non-dropping-particle" : "", "parse-names" : false, "suffix" : "" } ], "container-title" : "Climate Change 2013 - The Physical Science Basis", "id" : "ITEM-1", "issued" : { "date-parts" : [ [ "2006" ] ] }, "page" : "1-30", "title" : "CONVENCI\u00d3N SOBRE LOS DERECHOS DE LAS PERSONAS CON DISCAPACIDAD, NACIONES UNIDAS", "type" : "article-journal" }, "uris" : [ "http://www.mendeley.com/documents/?uuid=060ef7cf-418f-41c2-9c70-00ce3d1e81d5" ] } ], "mendeley" : { "formattedCitation" : "(UN, 2006)", "plainTextFormattedCitation" : "(UN, 2006)", "previouslyFormattedCitation" : "(UN, 2006)" }, "properties" : {  }, "schema" : "https://github.com/citation-style-language/schema/raw/master/csl-citation.json" }</w:instrText>
      </w:r>
      <w:r w:rsidR="00F135AD">
        <w:fldChar w:fldCharType="separate"/>
      </w:r>
      <w:r w:rsidR="000B1240" w:rsidRPr="000B1240">
        <w:rPr>
          <w:noProof/>
        </w:rPr>
        <w:t>(UN, 2006)</w:t>
      </w:r>
      <w:r w:rsidR="00F135AD">
        <w:fldChar w:fldCharType="end"/>
      </w:r>
      <w:r w:rsidR="000B1240">
        <w:t>, del 13 de diciembre</w:t>
      </w:r>
      <w:r>
        <w:t xml:space="preserve">, </w:t>
      </w:r>
      <w:r w:rsidR="00E56726">
        <w:t>establece algu</w:t>
      </w:r>
      <w:r w:rsidR="00C67D9D">
        <w:t>nos puntos relevantes relacionados</w:t>
      </w:r>
      <w:r w:rsidR="00E56726">
        <w:t xml:space="preserve"> con accesibilidad a la información, estos son:</w:t>
      </w:r>
    </w:p>
    <w:p w:rsidR="00E56726" w:rsidRDefault="00E56726" w:rsidP="00B72A67">
      <w:pPr>
        <w:jc w:val="both"/>
      </w:pPr>
      <w:r>
        <w:t>“Reconociendo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E56726" w:rsidRDefault="007E27A1" w:rsidP="00B72A67">
      <w:pPr>
        <w:jc w:val="both"/>
      </w:pPr>
      <w:r>
        <w:t>En el Artículo 9 subtitulo a</w:t>
      </w:r>
      <w:r w:rsidR="00E56726">
        <w:t>ccesibilidad</w:t>
      </w:r>
      <w:r w:rsidR="00C67D9D">
        <w:t>,</w:t>
      </w:r>
      <w:r w:rsidR="00E56726">
        <w:t xml:space="preserve"> se menciona que a fin de que las personas con discapacidad puedan vivir en forma independiente y participar plenamente en todos los as</w:t>
      </w:r>
      <w:r w:rsidR="00A043CE">
        <w:t>pectos de la vida, los estados p</w:t>
      </w:r>
      <w:r w:rsidR="00E56726">
        <w:t>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los servicios de información, comunicaciones y de otro tipo, incluidos los servicios electrónicos y de emergencia.</w:t>
      </w:r>
    </w:p>
    <w:p w:rsidR="004D419A" w:rsidRPr="00D81E11" w:rsidRDefault="00DD0C0D" w:rsidP="00B72A67">
      <w:pPr>
        <w:jc w:val="both"/>
        <w:rPr>
          <w:b/>
        </w:rPr>
      </w:pPr>
      <w:r>
        <w:rPr>
          <w:b/>
        </w:rPr>
        <w:t>Legislación Europea</w:t>
      </w:r>
    </w:p>
    <w:p w:rsidR="004D419A" w:rsidRDefault="001D06BE" w:rsidP="006256B9">
      <w:pPr>
        <w:jc w:val="both"/>
      </w:pPr>
      <w:r>
        <w:t>La c</w:t>
      </w:r>
      <w:r w:rsidR="006256B9">
        <w:t xml:space="preserve">arta de los </w:t>
      </w:r>
      <w:r>
        <w:t>d</w:t>
      </w:r>
      <w:r w:rsidR="006256B9">
        <w:t xml:space="preserve">erechos </w:t>
      </w:r>
      <w:r>
        <w:t>f</w:t>
      </w:r>
      <w:r w:rsidR="006256B9" w:rsidRPr="006256B9">
        <w:t xml:space="preserve">undamentales de la </w:t>
      </w:r>
      <w:r>
        <w:t>u</w:t>
      </w:r>
      <w:r w:rsidR="006256B9">
        <w:t xml:space="preserve">nión </w:t>
      </w:r>
      <w:r>
        <w:t>e</w:t>
      </w:r>
      <w:r w:rsidR="006256B9" w:rsidRPr="006256B9">
        <w:t>uropea</w:t>
      </w:r>
      <w:r w:rsidR="006256B9">
        <w:t xml:space="preserve"> </w:t>
      </w:r>
      <w:r w:rsidR="00F135AD">
        <w:fldChar w:fldCharType="begin" w:fldLock="1"/>
      </w:r>
      <w:r w:rsidR="00C527E3">
        <w:instrText>ADDIN CSL_CITATION { "citationItems" : [ { "id" : "ITEM-1", "itemData" : { "author" : [ { "dropping-particle" : "", "family" : "UE", "given" : "", "non-dropping-particle" : "", "parse-names" : false, "suffix" : "" } ], "id" : "ITEM-1", "issued" : { "date-parts" : [ [ "2012" ] ] }, "page" : "391-407", "title" : "Carta de los derechos fundamentales de la uni\u00f3n europea", "type" : "article-journal" }, "uris" : [ "http://www.mendeley.com/documents/?uuid=97caf633-6188-46b6-8c10-6372872c7b1a", "http://www.mendeley.com/documents/?uuid=82e45146-0060-4713-91ed-e7d3e33e4efa" ] } ], "mendeley" : { "formattedCitation" : "(UE, 2012)", "plainTextFormattedCitation" : "(UE, 2012)", "previouslyFormattedCitation" : "(UE, 2012)" }, "properties" : {  }, "schema" : "https://github.com/citation-style-language/schema/raw/master/csl-citation.json" }</w:instrText>
      </w:r>
      <w:r w:rsidR="00F135AD">
        <w:fldChar w:fldCharType="separate"/>
      </w:r>
      <w:r w:rsidR="006256B9" w:rsidRPr="006256B9">
        <w:rPr>
          <w:noProof/>
        </w:rPr>
        <w:t>(UE, 2012)</w:t>
      </w:r>
      <w:r w:rsidR="00F135AD">
        <w:fldChar w:fldCharType="end"/>
      </w:r>
      <w:r>
        <w:t xml:space="preserve"> establece en su a</w:t>
      </w:r>
      <w:r w:rsidR="006256B9">
        <w:t>rtículo 21 que</w:t>
      </w:r>
      <w:r w:rsidR="00C67D9D">
        <w:t xml:space="preserve"> se prohíbe toda discriminación</w:t>
      </w:r>
      <w:r w:rsidR="006256B9">
        <w:t xml:space="preserve"> y en particular la ejercida por razón de sexo, raza, color, orígenes étnicos o sociales, características genéticas, lengua, religión o convicciones, opiniones políticas o de cualquier otro tipo, pertenencia a una minoría nacional, patrimonio, nacimiento, discapacid</w:t>
      </w:r>
      <w:r w:rsidR="008A6F31">
        <w:t xml:space="preserve">ad, edad u orientación sexual. </w:t>
      </w:r>
    </w:p>
    <w:p w:rsidR="008A6F31" w:rsidRDefault="00F13FFC" w:rsidP="006256B9">
      <w:pPr>
        <w:jc w:val="both"/>
      </w:pPr>
      <w:r>
        <w:t>Específicamente en cuanto a accesibilidad</w:t>
      </w:r>
      <w:r w:rsidR="009E2325">
        <w:t xml:space="preserve"> web</w:t>
      </w:r>
      <w:r>
        <w:t xml:space="preserve"> </w:t>
      </w:r>
      <w:r w:rsidR="001D06BE">
        <w:t>el parlamento europeo y el c</w:t>
      </w:r>
      <w:r w:rsidR="009E2325">
        <w:t xml:space="preserve">onsejo de la </w:t>
      </w:r>
      <w:r w:rsidR="001D06BE">
        <w:t>u</w:t>
      </w:r>
      <w:r>
        <w:t xml:space="preserve">nión </w:t>
      </w:r>
      <w:r w:rsidR="001D06BE">
        <w:t>e</w:t>
      </w:r>
      <w:r>
        <w:t>uropea</w:t>
      </w:r>
      <w:r w:rsidR="009E2325">
        <w:t xml:space="preserve"> </w:t>
      </w:r>
      <w:r w:rsidR="00F135AD">
        <w:fldChar w:fldCharType="begin" w:fldLock="1"/>
      </w:r>
      <w:r w:rsidR="00C527E3">
        <w:instrText>ADDIN CSL_CITATION { "citationItems" : [ { "id" : "ITEM-1", "itemData" : { "author" : [ { "dropping-particle" : "", "family" : "UE", "given" : "", "non-dropping-particle" : "", "parse-names" : false, "suffix" : "" } ], "id" : "ITEM-1", "issue" : "2", "issued" : { "date-parts" : [ [ "2016" ] ] }, "page" : "1-15", "title" : "DIRECTIVA (UE) 2016/2102 DEL PARLAMENTO EUROPEO Y DEL CONSEJO de 26 de octubre de 2016 sobre la accesibilidad de los sitios web y aplicaciones para dispositivos m\u00f3viles de los organismos del sector p\u00fablico", "type" : "article-journal", "volume" : "2014" }, "uris" : [ "http://www.mendeley.com/documents/?uuid=efd6ef26-9d13-4262-9826-571c5dbabadc", "http://www.mendeley.com/documents/?uuid=54a178c7-8087-4907-b9ee-0aaa60b2abde" ] } ], "mendeley" : { "formattedCitation" : "(UE, 2016)", "plainTextFormattedCitation" : "(UE, 2016)", "previouslyFormattedCitation" : "(UE, 2016)" }, "properties" : {  }, "schema" : "https://github.com/citation-style-language/schema/raw/master/csl-citation.json" }</w:instrText>
      </w:r>
      <w:r w:rsidR="00F135AD">
        <w:fldChar w:fldCharType="separate"/>
      </w:r>
      <w:r w:rsidR="009E2325" w:rsidRPr="009E2325">
        <w:rPr>
          <w:noProof/>
        </w:rPr>
        <w:t>(UE, 2016)</w:t>
      </w:r>
      <w:r w:rsidR="00F135AD">
        <w:fldChar w:fldCharType="end"/>
      </w:r>
      <w:r>
        <w:t xml:space="preserve">, establecen con fecha 26 de </w:t>
      </w:r>
      <w:r w:rsidR="009E2325">
        <w:t>octubre</w:t>
      </w:r>
      <w:r>
        <w:t xml:space="preserve"> de 2016</w:t>
      </w:r>
      <w:r w:rsidR="009E2325">
        <w:t>,</w:t>
      </w:r>
      <w:r>
        <w:t xml:space="preserve"> lo relacionado </w:t>
      </w:r>
      <w:r w:rsidR="009E2325">
        <w:t>con</w:t>
      </w:r>
      <w:r>
        <w:t xml:space="preserve"> la accesibilidad de los sitios web y aplicaciones para dispositivos móviles de los organismos del sector público</w:t>
      </w:r>
      <w:r w:rsidR="00B57612">
        <w:t>.</w:t>
      </w:r>
    </w:p>
    <w:p w:rsidR="00077189" w:rsidRDefault="00077189" w:rsidP="006256B9">
      <w:pPr>
        <w:jc w:val="both"/>
      </w:pPr>
      <w:r>
        <w:t>En el considerando 2</w:t>
      </w:r>
      <w:r w:rsidR="00C67D9D">
        <w:t>,</w:t>
      </w:r>
      <w:r w:rsidR="00DD0C0D">
        <w:t xml:space="preserve"> señala</w:t>
      </w:r>
      <w:r>
        <w:t xml:space="preserve"> </w:t>
      </w:r>
      <w:r w:rsidR="00DD0C0D">
        <w:t xml:space="preserve">que </w:t>
      </w:r>
      <w:r>
        <w:t>la accesibilidad debe entenderse como un conjunto de principios y técnicas que se deben respetar a la hora de diseñar, construir, mantener y actualizar los sitios web y las aplicaciones para dispositivos móviles para que sean más accesibles a los usuarios, en particular a las personas con discapacidad.</w:t>
      </w:r>
    </w:p>
    <w:p w:rsidR="00077189" w:rsidRDefault="00323F4D" w:rsidP="006256B9">
      <w:pPr>
        <w:jc w:val="both"/>
      </w:pPr>
      <w:r>
        <w:t>El considerando 12</w:t>
      </w:r>
      <w:r w:rsidR="00C67D9D">
        <w:t>,</w:t>
      </w:r>
      <w:r>
        <w:t xml:space="preserve"> menciona en forma muy precisa lo relacionado con accesibilidad:</w:t>
      </w:r>
    </w:p>
    <w:p w:rsidR="00323F4D" w:rsidRDefault="00323F4D" w:rsidP="00DD0C0D">
      <w:pPr>
        <w:ind w:left="708"/>
        <w:jc w:val="both"/>
      </w:pPr>
      <w:r>
        <w:t>“Mediante la ratificación por parte de la may</w:t>
      </w:r>
      <w:r w:rsidR="00F9011B">
        <w:t>oría de los e</w:t>
      </w:r>
      <w:r>
        <w:t xml:space="preserve">stados miembros y la celebración por parte de la Unión de la Convención de las Naciones Unidas sobre los derechos de las personas con discapacidad, adoptada el 13 de diciembre de 2006 (en lo sucesivo, «Convención de las Naciones Unidas»), los unos y la otra se comprometieron a adoptar las medidas adecuadas para garantizar el acceso de las personas con discapacidad, en igualdad de condiciones que los demás, a las tecnologías y los sistemas de información y comunicación, a desarrollar, promulgar y supervisar la aplicación de unas normas mínimas y unas directrices para la accesibilidad de las instalaciones y los servicios abiertos al público o de uso público, así como a fomentar el acceso para las personas con </w:t>
      </w:r>
      <w:r>
        <w:lastRenderedPageBreak/>
        <w:t xml:space="preserve">discapacidad a las nuevas tecnologías y sistemas de información y comunicación, con inclusión de internet, y se comprometieron a abstenerse de actos o prácticas que sean incompatibles con la Convención y a velar por que las autoridades e instituciones del sector público actúen de conformidad con la misma. La Convención de las Naciones Unidas estipula asimismo que el diseño de productos, entornos, programas y servicios debe permitir que sean utilizados por todas las personas, en la mayor medida posible, sin necesidad de adaptación ni diseño especializado. Este tipo de «diseño universal» no debería excluir los dispositivos de apoyo para grupos concretos de personas con discapacidad, cuando ello sea necesario. Conforme a la Convención de las Naciones Unidas, por personas con discapacidad se entiende aquellas que tengan deficiencias físicas, mentales, intelectuales o sensoriales prolongadas que, unidas a otras barreras, impidan su participación plena y efectiva en la sociedad en igualdad de condiciones que las demás.” </w:t>
      </w:r>
      <w:r w:rsidR="00F135AD">
        <w:fldChar w:fldCharType="begin" w:fldLock="1"/>
      </w:r>
      <w:r w:rsidR="00C527E3">
        <w:instrText>ADDIN CSL_CITATION { "citationItems" : [ { "id" : "ITEM-1", "itemData" : { "author" : [ { "dropping-particle" : "", "family" : "UE", "given" : "", "non-dropping-particle" : "", "parse-names" : false, "suffix" : "" } ], "id" : "ITEM-1", "issue" : "2", "issued" : { "date-parts" : [ [ "2016" ] ] }, "page" : "1-15", "title" : "DIRECTIVA (UE) 2016/2102 DEL PARLAMENTO EUROPEO Y DEL CONSEJO de 26 de octubre de 2016 sobre la accesibilidad de los sitios web y aplicaciones para dispositivos m\u00f3viles de los organismos del sector p\u00fablico", "type" : "article-journal", "volume" : "2014" }, "uris" : [ "http://www.mendeley.com/documents/?uuid=54a178c7-8087-4907-b9ee-0aaa60b2abde", "http://www.mendeley.com/documents/?uuid=efd6ef26-9d13-4262-9826-571c5dbabadc" ] } ], "mendeley" : { "formattedCitation" : "(UE, 2016)", "plainTextFormattedCitation" : "(UE, 2016)", "previouslyFormattedCitation" : "(UE, 2016)" }, "properties" : {  }, "schema" : "https://github.com/citation-style-language/schema/raw/master/csl-citation.json" }</w:instrText>
      </w:r>
      <w:r w:rsidR="00F135AD">
        <w:fldChar w:fldCharType="separate"/>
      </w:r>
      <w:r w:rsidRPr="00323F4D">
        <w:rPr>
          <w:noProof/>
        </w:rPr>
        <w:t>(UE, 2016)</w:t>
      </w:r>
      <w:r w:rsidR="00F135AD">
        <w:fldChar w:fldCharType="end"/>
      </w:r>
    </w:p>
    <w:p w:rsidR="00DD0C0D" w:rsidRDefault="00DD0C0D" w:rsidP="00825072">
      <w:pPr>
        <w:rPr>
          <w:b/>
        </w:rPr>
      </w:pPr>
      <w:r>
        <w:rPr>
          <w:b/>
        </w:rPr>
        <w:t>Legislación Accesibilidad Web España</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España cuenta con una historia importante en cuanto a legislación relacionada con inclusión, accesibilidad y temáticas relacionadas que se inicia el año 1982 con la Ley 13/1982</w:t>
      </w:r>
      <w:r>
        <w:rPr>
          <w:rFonts w:eastAsiaTheme="minorEastAsia"/>
          <w:szCs w:val="28"/>
        </w:rPr>
        <w:t xml:space="preserve"> </w:t>
      </w:r>
      <w:r w:rsidR="00F135AD" w:rsidRPr="002F4FC3">
        <w:rPr>
          <w:rFonts w:eastAsiaTheme="minorEastAsia"/>
          <w:szCs w:val="28"/>
        </w:rPr>
        <w:fldChar w:fldCharType="begin" w:fldLock="1"/>
      </w:r>
      <w:r w:rsidRPr="002F4FC3">
        <w:rPr>
          <w:rFonts w:eastAsiaTheme="minorEastAsia"/>
          <w:szCs w:val="28"/>
        </w:rPr>
        <w:instrText>ADDIN CSL_CITATION { "citationItems" : [ { "id" : "ITEM-1", "itemData" : { "author" : [ { "dropping-particle" : "", "family" : "Boletin Oficial de Estado", "given" : "", "non-dropping-particle" : "", "parse-names" : false, "suffix" : "" } ], "container-title" : "Boe", "id" : "ITEM-1", "issue" : "30", "issued" : { "date-parts" : [ [ "1982" ] ] }, "page" : "11106-11112", "title" : "Ley de Integraci\u00f3n Social del Minusv\u00e1lido. (LISMI) Ley 13/1982, de 7 de abril.", "type" : "article-journal", "volume" : "4" }, "uris" : [ "http://www.mendeley.com/documents/?uuid=61ebf76c-7a4a-42c5-993d-0a4e8785f534" ] } ], "mendeley" : { "formattedCitation" : "(Boletin Oficial de Estado, 1982)", "plainTextFormattedCitation" : "(Boletin Oficial de Estado, 1982)", "previouslyFormattedCitation" : "(Boletin Oficial de Estado, 1982)" }, "properties" : {  }, "schema" : "https://github.com/citation-style-language/schema/raw/master/csl-citation.json" }</w:instrText>
      </w:r>
      <w:r w:rsidR="00F135AD" w:rsidRPr="002F4FC3">
        <w:rPr>
          <w:rFonts w:eastAsiaTheme="minorEastAsia"/>
          <w:szCs w:val="28"/>
        </w:rPr>
        <w:fldChar w:fldCharType="separate"/>
      </w:r>
      <w:r w:rsidRPr="002F4FC3">
        <w:rPr>
          <w:rFonts w:eastAsiaTheme="minorEastAsia"/>
          <w:noProof/>
          <w:szCs w:val="28"/>
        </w:rPr>
        <w:t>(Boletin Oficial de Estado, 1982)</w:t>
      </w:r>
      <w:r w:rsidR="00F135AD" w:rsidRPr="002F4FC3">
        <w:rPr>
          <w:rFonts w:eastAsiaTheme="minorEastAsia"/>
          <w:szCs w:val="28"/>
        </w:rPr>
        <w:fldChar w:fldCharType="end"/>
      </w:r>
      <w:r w:rsidRPr="002F4FC3">
        <w:rPr>
          <w:rFonts w:eastAsiaTheme="minorEastAsia"/>
          <w:szCs w:val="28"/>
        </w:rPr>
        <w:t>, de 7 de abril. A continuación se presenta y analiza la legislación española vigente, Real Decreto Legislativo 1/2013 y Norma UNE 139803:2012.</w:t>
      </w:r>
    </w:p>
    <w:p w:rsidR="006538AF" w:rsidRPr="002F4FC3" w:rsidRDefault="006538AF" w:rsidP="006538AF">
      <w:pPr>
        <w:spacing w:after="120" w:line="240" w:lineRule="auto"/>
        <w:rPr>
          <w:rFonts w:eastAsiaTheme="minorEastAsia"/>
          <w:sz w:val="16"/>
          <w:szCs w:val="20"/>
        </w:rPr>
      </w:pPr>
    </w:p>
    <w:p w:rsidR="006538AF" w:rsidRPr="002F4FC3" w:rsidRDefault="006538AF" w:rsidP="006538AF">
      <w:pPr>
        <w:keepNext/>
        <w:keepLines/>
        <w:spacing w:before="80" w:after="0" w:line="240" w:lineRule="auto"/>
        <w:outlineLvl w:val="1"/>
        <w:rPr>
          <w:rFonts w:eastAsiaTheme="majorEastAsia" w:cstheme="majorBidi"/>
          <w:b/>
          <w:szCs w:val="28"/>
        </w:rPr>
      </w:pPr>
      <w:bookmarkStart w:id="0" w:name="_Toc40173893"/>
      <w:r w:rsidRPr="006538AF">
        <w:rPr>
          <w:rFonts w:eastAsiaTheme="majorEastAsia" w:cstheme="majorBidi"/>
          <w:b/>
          <w:szCs w:val="24"/>
        </w:rPr>
        <w:t>Real Decreto Legislativo 1/2013, de 29 de noviembre, por el que se aprueba el Texto Refundido de la Ley General de derechos de las personas con discapacidad y de su inclusión social</w:t>
      </w:r>
      <w:bookmarkEnd w:id="0"/>
      <w:r w:rsidRPr="002F4FC3">
        <w:rPr>
          <w:rFonts w:eastAsiaTheme="majorEastAsia" w:cstheme="majorBidi"/>
          <w:b/>
          <w:szCs w:val="28"/>
        </w:rPr>
        <w:t xml:space="preserve"> </w:t>
      </w:r>
    </w:p>
    <w:p w:rsidR="006538AF" w:rsidRPr="002F4FC3" w:rsidRDefault="006538AF" w:rsidP="006538AF">
      <w:pPr>
        <w:spacing w:after="120" w:line="240" w:lineRule="auto"/>
        <w:rPr>
          <w:rFonts w:eastAsiaTheme="minorEastAsia"/>
          <w:sz w:val="16"/>
          <w:szCs w:val="20"/>
        </w:rPr>
      </w:pP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La legislación que actualmente rige la temática de accesibilidad web son una Norma y un Real Decreto, los cuales se complementan en forma inminente y entregan fundamentos sólidos para afirmar que existe respaldo legal y preocupación por el derecho de acceso a la información. Estos son:</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Real Decreto Legislativo 1/2013, de 29 de noviembre, por el que se aprueba el Texto Refundido de la Ley General de derechos de las personas con discapacidad y de su inclusión social. </w:t>
      </w:r>
      <w:r w:rsidR="00F135AD" w:rsidRPr="002F4FC3">
        <w:rPr>
          <w:rFonts w:eastAsiaTheme="minorEastAsia"/>
          <w:szCs w:val="28"/>
        </w:rPr>
        <w:fldChar w:fldCharType="begin" w:fldLock="1"/>
      </w:r>
      <w:r w:rsidRPr="002F4FC3">
        <w:rPr>
          <w:rFonts w:eastAsiaTheme="minorEastAsia"/>
          <w:szCs w:val="28"/>
        </w:rPr>
        <w:instrText>ADDIN CSL_CITATION { "citationItems" : [ { "id" : "ITEM-1", "itemData" : { "DOI" : "10.1017/CBO9781107415324.004", "ISBN" : "9788434022461", "ISSN" : "1098-6596", "PMID" : "25246403", "abstract" : "Real Decreto Legislativo 1/2013, de 29 de noviembre, por el que se aprueba el Texto Refundido de la Ley General de derechos de las personas con discapacidad y de su inclusi\u00f3n social.", "author" : [ { "dropping-particle" : "", "family" : "BOE", "given" : "", "non-dropping-particle" : "", "parse-names" : false, "suffix" : "" } ], "container-title" : "Bolet\u00edn Oficial del Estado", "id" : "ITEM-1", "issue" : "12632", "issued" : { "date-parts" : [ [ "2013" ] ] }, "page" : "95635-95673", "title" : "Ministerio de Sanidad Asuntos Sociales e Igualdad. Real Decreto Legislativo 1/2013, de 29 de noviembre, por el que se aprueba el Texto Refundido de la Ley General de derechos de las personas con discapacidad y de su inclusi\u00f3n social.", "type" : "article-journal", "volume" : "289" }, "uris" : [ "http://www.mendeley.com/documents/?uuid=a577e2f2-f4d5-4f85-9302-1b59fa13c94f", "http://www.mendeley.com/documents/?uuid=8a01c595-3854-4204-8268-bab7cf024942" ] } ], "mendeley" : { "formattedCitation" : "(BOE, 2013)", "plainTextFormattedCitation" : "(BOE, 2013)", "previouslyFormattedCitation" : "(BOE, 2013)" }, "properties" : {  }, "schema" : "https://github.com/citation-style-language/schema/raw/master/csl-citation.json" }</w:instrText>
      </w:r>
      <w:r w:rsidR="00F135AD" w:rsidRPr="002F4FC3">
        <w:rPr>
          <w:rFonts w:eastAsiaTheme="minorEastAsia"/>
          <w:szCs w:val="28"/>
        </w:rPr>
        <w:fldChar w:fldCharType="separate"/>
      </w:r>
      <w:r w:rsidRPr="002F4FC3">
        <w:rPr>
          <w:rFonts w:eastAsiaTheme="minorEastAsia"/>
          <w:noProof/>
          <w:szCs w:val="28"/>
        </w:rPr>
        <w:t>(BOE, 2013)</w:t>
      </w:r>
      <w:r w:rsidR="00F135AD" w:rsidRPr="002F4FC3">
        <w:rPr>
          <w:rFonts w:eastAsiaTheme="minorEastAsia"/>
          <w:szCs w:val="28"/>
        </w:rPr>
        <w:fldChar w:fldCharType="end"/>
      </w:r>
      <w:r w:rsidRPr="002F4FC3">
        <w:rPr>
          <w:rFonts w:eastAsiaTheme="minorEastAsia"/>
          <w:szCs w:val="28"/>
        </w:rPr>
        <w:t xml:space="preserve">.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Esta Ley plantea en sus inicios la siguiente afirmación “Las personas con discapacidad conforman un grupo vulnerable y numeroso al que el modo en que se estructura y funciona la sociedad ha mantenido habitualmente en conocidas condiciones de exclusión”, lo cual reafirma los planteamientos precedentes en torno a la realidad de colectivos históricamente excluidos o vulnerados en sus derechos y justifica plenamente el confirmar si esto se da en aspectos información en esta sociedad dominada por la tecnología.</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Esta ley tiene dos objetivos principales, señalados en su artículo 1, Objeto de esta ley:</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a) 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lastRenderedPageBreak/>
        <w:t>b) Establecer el régimen de infracciones y sanciones que garantizan las condiciones básicas en materia de igualdad de oportunidades, no discriminación y accesibilidad universal de las personas con discapacidad.</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En su artículo 2 Definiciones se presentan definiciones de base para la comprensión de la misma ley, considerado el objetivo de la investigación se recogen las siguientes:</w:t>
      </w:r>
    </w:p>
    <w:p w:rsidR="006538AF" w:rsidRPr="002F4FC3" w:rsidRDefault="006538AF" w:rsidP="006538AF">
      <w:pPr>
        <w:spacing w:after="120" w:line="240" w:lineRule="auto"/>
        <w:jc w:val="both"/>
        <w:rPr>
          <w:rFonts w:eastAsiaTheme="minorEastAsia"/>
          <w:szCs w:val="28"/>
        </w:rPr>
      </w:pPr>
      <w:r w:rsidRPr="002F4FC3">
        <w:rPr>
          <w:rFonts w:eastAsiaTheme="minorEastAsia"/>
          <w:b/>
          <w:szCs w:val="28"/>
        </w:rPr>
        <w:t>Discapacidad:</w:t>
      </w:r>
      <w:r w:rsidRPr="002F4FC3">
        <w:rPr>
          <w:rFonts w:eastAsiaTheme="minorEastAsia"/>
          <w:szCs w:val="28"/>
        </w:rPr>
        <w:t xml:space="preserve"> Es una situación que resulta de la interacción entre las personas con deficiencias previsiblemente permanentes y cualquier tipo de barreras que limiten o impidan su participación plena y efectiva en la sociedad, en igualdad de condiciones con las demás.</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Esta definición es interesante porque señala la discapacidad como algo externo a la persona y las limitaciones físicas o sicológicas evidentes que posea, sino que resulta de la interacción con el medio para facilitar o dificultar su participación en igualdad de condiciones.</w:t>
      </w:r>
    </w:p>
    <w:p w:rsidR="006538AF" w:rsidRPr="002F4FC3" w:rsidRDefault="006538AF" w:rsidP="006538AF">
      <w:pPr>
        <w:spacing w:after="120" w:line="240" w:lineRule="auto"/>
        <w:jc w:val="both"/>
        <w:rPr>
          <w:rFonts w:eastAsiaTheme="minorEastAsia"/>
          <w:b/>
          <w:i/>
          <w:szCs w:val="28"/>
        </w:rPr>
      </w:pPr>
      <w:r w:rsidRPr="002F4FC3">
        <w:rPr>
          <w:rFonts w:eastAsiaTheme="minorEastAsia"/>
          <w:b/>
          <w:szCs w:val="28"/>
        </w:rPr>
        <w:t xml:space="preserve"> Inclusión social:</w:t>
      </w:r>
      <w:r w:rsidRPr="002F4FC3">
        <w:rPr>
          <w:rFonts w:eastAsiaTheme="minorEastAsia"/>
          <w:szCs w:val="28"/>
        </w:rPr>
        <w:t xml:space="preserve"> es el principio en virtud del cual la sociedad promueve valores compartidos orientados al bien común y a la cohesión social, permitiendo que todas las personas con discapacidad tengan las oportunidades y recursos necesarios para participar plenamente en la vida política, económica, social, educativa, laboral y cultural, y para disfrutar de unas condiciones de vida en igualdad con los demás.</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Esta definición ampara la justificación de esta investigación que busca de confirmar si se cumple o no la inclusión social en todo ámbito de desarrollo.</w:t>
      </w:r>
    </w:p>
    <w:p w:rsidR="006538AF" w:rsidRPr="002F4FC3" w:rsidRDefault="006538AF" w:rsidP="006538AF">
      <w:pPr>
        <w:spacing w:after="120" w:line="240" w:lineRule="auto"/>
        <w:jc w:val="both"/>
        <w:rPr>
          <w:rFonts w:eastAsiaTheme="minorEastAsia"/>
          <w:szCs w:val="28"/>
        </w:rPr>
      </w:pPr>
      <w:r w:rsidRPr="002F4FC3">
        <w:rPr>
          <w:rFonts w:eastAsiaTheme="minorEastAsia"/>
          <w:b/>
          <w:szCs w:val="28"/>
        </w:rPr>
        <w:t>Accesibilidad universal:</w:t>
      </w:r>
      <w:r w:rsidRPr="002F4FC3">
        <w:rPr>
          <w:rFonts w:eastAsiaTheme="minorEastAsia"/>
          <w:szCs w:val="28"/>
        </w:rPr>
        <w:t xml:space="preserve">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 </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Esta definición de accesibilidad universal coincide con la de la Real Academia Española, Fundación ONCE o Naciones Unidas en su esencia de abarcar todo tipo de espacios, productos y otros para la autonomía en su desenvolvimiento.</w:t>
      </w:r>
    </w:p>
    <w:p w:rsidR="006538AF" w:rsidRPr="002F4FC3" w:rsidRDefault="006538AF" w:rsidP="006538AF">
      <w:pPr>
        <w:spacing w:after="120" w:line="240" w:lineRule="auto"/>
        <w:jc w:val="both"/>
        <w:rPr>
          <w:rFonts w:eastAsiaTheme="minorEastAsia"/>
          <w:szCs w:val="28"/>
        </w:rPr>
      </w:pPr>
      <w:r w:rsidRPr="002F4FC3">
        <w:rPr>
          <w:rFonts w:eastAsiaTheme="minorEastAsia"/>
          <w:b/>
          <w:szCs w:val="28"/>
        </w:rPr>
        <w:t>Diseño universal o diseño para todas las personas:</w:t>
      </w:r>
      <w:r w:rsidRPr="002F4FC3">
        <w:rPr>
          <w:rFonts w:eastAsiaTheme="minorEastAsia"/>
          <w:szCs w:val="28"/>
        </w:rPr>
        <w:t xml:space="preserve"> es la actividad por la que se conciben o proyectan desde el origen, y siempre que ello sea posible, entornos, procesos, bienes, productos, servicios, objetos, instrumentos, programas, dispositivos o herramientas,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 xml:space="preserve">Destaca esta definición por las coincidencias de varios autores </w:t>
      </w:r>
      <w:r w:rsidR="00F135AD" w:rsidRPr="002F4FC3">
        <w:rPr>
          <w:rFonts w:eastAsiaTheme="minorEastAsia"/>
          <w:b/>
          <w:i/>
          <w:szCs w:val="28"/>
        </w:rPr>
        <w:fldChar w:fldCharType="begin" w:fldLock="1"/>
      </w:r>
      <w:r w:rsidRPr="002F4FC3">
        <w:rPr>
          <w:rFonts w:eastAsiaTheme="minorEastAsia"/>
          <w:b/>
          <w:i/>
          <w:szCs w:val="28"/>
        </w:rPr>
        <w:instrText>ADDIN CSL_CITATION { "citationItems" : [ { "id" : "ITEM-1", "itemData" : { "abstract" : "En los \u00faltimos a\u00f1os la sociedad ha variado notablemente su percepci\u00f3n sobre las personas con discapaciadad. Esto se pone de manifiesto de forma evidente en el vocabulario utilizado.", "author" : [ { "dropping-particle" : "", "family" : "Miranda", "given" : "Rocio", "non-dropping-particle" : "", "parse-names" : false, "suffix" : "" } ], "container-title" : "Cuadernos Fundaci\u00f3n ORANGE", "id" : "ITEM-1", "issued" : { "date-parts" : [ [ "2007" ] ] }, "page" : "1-35", "title" : "Discapacidad y eAccesibilidad", "type" : "article-journal" }, "uris" : [ "http://www.mendeley.com/documents/?uuid=df566eb1-d036-4f3d-85fe-4c9ec908fb42", "http://www.mendeley.com/documents/?uuid=1bc56cc5-c651-455b-be87-ae2bd11d194f" ] } ], "mendeley" : { "formattedCitation" : "(Miranda, 2007)", "plainTextFormattedCitation" : "(Miranda, 2007)", "previouslyFormattedCitation" : "(Miranda, 2007)" }, "properties" : {  }, "schema" : "https://github.com/citation-style-language/schema/raw/master/csl-citation.json" }</w:instrText>
      </w:r>
      <w:r w:rsidR="00F135AD" w:rsidRPr="002F4FC3">
        <w:rPr>
          <w:rFonts w:eastAsiaTheme="minorEastAsia"/>
          <w:b/>
          <w:i/>
          <w:szCs w:val="28"/>
        </w:rPr>
        <w:fldChar w:fldCharType="separate"/>
      </w:r>
      <w:r w:rsidRPr="002F4FC3">
        <w:rPr>
          <w:rFonts w:eastAsiaTheme="minorEastAsia"/>
          <w:b/>
          <w:i/>
          <w:noProof/>
          <w:szCs w:val="28"/>
        </w:rPr>
        <w:t>(Miranda, 2007)</w:t>
      </w:r>
      <w:r w:rsidR="00F135AD" w:rsidRPr="002F4FC3">
        <w:rPr>
          <w:rFonts w:eastAsiaTheme="minorEastAsia"/>
          <w:b/>
          <w:i/>
          <w:szCs w:val="28"/>
        </w:rPr>
        <w:fldChar w:fldCharType="end"/>
      </w:r>
      <w:r w:rsidRPr="002F4FC3">
        <w:rPr>
          <w:rFonts w:eastAsiaTheme="minorEastAsia"/>
          <w:b/>
          <w:i/>
          <w:szCs w:val="28"/>
        </w:rPr>
        <w:t xml:space="preserve"> </w:t>
      </w:r>
      <w:r w:rsidR="00F135AD" w:rsidRPr="002F4FC3">
        <w:rPr>
          <w:rFonts w:eastAsiaTheme="minorEastAsia"/>
          <w:b/>
          <w:i/>
          <w:szCs w:val="28"/>
        </w:rPr>
        <w:fldChar w:fldCharType="begin" w:fldLock="1"/>
      </w:r>
      <w:r w:rsidRPr="002F4FC3">
        <w:rPr>
          <w:rFonts w:eastAsiaTheme="minorEastAsia"/>
          <w:b/>
          <w:i/>
          <w:szCs w:val="28"/>
        </w:rPr>
        <w:instrText>ADDIN CSL_CITATION { "citationItems" : [ { "id" : "ITEM-1", "itemData" : { "ISBN" : "978-84-616-0718-1", "abstract" : "Resumen Uno de los retos actuales de la educaci\u00f3n es garantizar la calidad de la educaci\u00f3n de todos los estudiantes. La incorporaci\u00f3n a las aulas regulares del alumnado con necesidades educativas especiales ha sido un gran logro. Pero llegados a este punto es necesario garantizar que pueden participar en los procesos de aprendizaje y de ense\u00f1anza y que reciben una educaci\u00f3n adecuada a sus capacidades. Para ello son necesarios planteamientos did\u00e1cticos que reconozcan la diversidad de los estudiantes y promuevan contextos y estrategias complejas y flexibles en las que tenga cabida la diferencia en el proceso de aprendizaje y proporcione recursos para aprender desde la diversidad. El Dise\u00f1o Universal para el Aprendizaje propone unos principios basados en conceptos que provienen de la neurociencia y la psicolog\u00eda cognitiva, los resultados de las investigaciones sobre el cerebro y las aportaciones de las tecnolog\u00edas para ofrecer m\u00faltiples medios de representaci\u00f3n, de acci\u00f3n y expresi\u00f3n y de implicaci\u00f3n que garanticen una educaci\u00f3n accesible a todos los estudiantes. Educaci\u00f3n inclusiva, curriculum accesible, educaci\u00f3n para todos No hay un zapato, ni un traje que sirva a todas las personas, que les guste a todas o que les siente igual de bien. De la misma manera, en algo tan relevante y complejo como es la educaci\u00f3n, no se puede pretender que todos los alumnos aprendan lo mismo, a la vez, de la misma manera y con los mismos m\u00e9todos y recursos. En la base de la Educaci\u00f3n para Todos est\u00e1 el reconocimiento de las diferencias entre los estudiantes en su forma de aprender, en su forma de percibir y procesar la informaci\u00f3n, de relacionarse con la informaci\u00f3n y el entorno, en sus intereses y preferencias, sentimientos, habilidades sociales, etc. Este reconocimiento exige que los contextos educativos se planteen la necesidad de crear espacios en los que todos los alumnos y alumnas tengan la oportunidad de aprender, desde sus posibilidades y limitaciones, desde sus preferencias y dificultades. Que todos tengan la oportunidad de acceder, participar e implicarse en el aprendizaje. Y para ello parece necesario que la ense\u00f1anza se plantee desde una perspectiva compleja que permita el acceso a los procesos de aprendizaje a todos los estudiantes, con un enfoque que pueda ser flexible para proporcionar diferentes opciones o la posibilidad de que el docente pueda hacer adaptaciones para responder a las necesidades y capacidades de cada uno de ellos. Una gran visi\u00f3n: el Dise\u00f1o \u2026", "author" : [ { "dropping-particle" : "", "family" : "Pastor", "given" : "Carmen Alba", "non-dropping-particle" : "", "parse-names" : false, "suffix" : "" } ], "container-title" : "Universidad Complutense de Madrid", "id" : "ITEM-1", "issued" : { "date-parts" : [ [ "2012" ] ] }, "page" : "1-13", "title" : "Aportaciones del Dise\u00f1o Universal para el Aprendizaje y de los materiales digitales en el logro de una ense\u00f1anza accesible", "type" : "article-journal" }, "uris" : [ "http://www.mendeley.com/documents/?uuid=7658a3fe-c0c8-410d-b80f-dbdee894d37d", "http://www.mendeley.com/documents/?uuid=a6331725-6755-42c3-9dc8-80dbcb1f29e7" ] } ], "mendeley" : { "formattedCitation" : "(Pastor, 2012)", "plainTextFormattedCitation" : "(Pastor, 2012)", "previouslyFormattedCitation" : "(Pastor, 2012)" }, "properties" : {  }, "schema" : "https://github.com/citation-style-language/schema/raw/master/csl-citation.json" }</w:instrText>
      </w:r>
      <w:r w:rsidR="00F135AD" w:rsidRPr="002F4FC3">
        <w:rPr>
          <w:rFonts w:eastAsiaTheme="minorEastAsia"/>
          <w:b/>
          <w:i/>
          <w:szCs w:val="28"/>
        </w:rPr>
        <w:fldChar w:fldCharType="separate"/>
      </w:r>
      <w:r w:rsidRPr="002F4FC3">
        <w:rPr>
          <w:rFonts w:eastAsiaTheme="minorEastAsia"/>
          <w:b/>
          <w:i/>
          <w:noProof/>
          <w:szCs w:val="28"/>
        </w:rPr>
        <w:t>(Pastor, 2012)</w:t>
      </w:r>
      <w:r w:rsidR="00F135AD" w:rsidRPr="002F4FC3">
        <w:rPr>
          <w:rFonts w:eastAsiaTheme="minorEastAsia"/>
          <w:b/>
          <w:i/>
          <w:szCs w:val="28"/>
        </w:rPr>
        <w:fldChar w:fldCharType="end"/>
      </w:r>
      <w:r w:rsidRPr="002F4FC3">
        <w:rPr>
          <w:rFonts w:eastAsiaTheme="minorEastAsia"/>
          <w:b/>
          <w:i/>
          <w:szCs w:val="28"/>
        </w:rPr>
        <w:t xml:space="preserve"> </w:t>
      </w:r>
      <w:r w:rsidR="00F135AD" w:rsidRPr="002F4FC3">
        <w:rPr>
          <w:rFonts w:eastAsiaTheme="minorEastAsia"/>
          <w:b/>
          <w:i/>
          <w:szCs w:val="28"/>
        </w:rPr>
        <w:fldChar w:fldCharType="begin" w:fldLock="1"/>
      </w:r>
      <w:r w:rsidRPr="002F4FC3">
        <w:rPr>
          <w:rFonts w:eastAsiaTheme="minorEastAsia"/>
          <w:b/>
          <w:i/>
          <w:szCs w:val="28"/>
        </w:rPr>
        <w:instrText>ADDIN CSL_CITATION { "citationItems" : [ { "id" : "ITEM-1", "itemData" : { "DOI" : "10.5477/cis/reis.140.163", "ISSN" : "02105233", "author" : [ { "dropping-particle" : "", "family" : "Toboso-Mart\u00edn", "given" : "Mario", "non-dropping-particle" : "", "parse-names" : false, "suffix" : "" }, { "dropping-particle" : "", "family" : "Rogero-Garc\u00eda", "given" : "Jes\u00fas", "non-dropping-particle" : "", "parse-names" : false, "suffix" : "" } ], "container-title" : "Revista Espa\u00f1ola de Investigaciones Sociol\u00f3gicas", "id" : "ITEM-1", "issued" : { "date-parts" : [ [ "2012" ] ] }, "page" : "163-172", "title" : "'Dise\u00f1o para todos' en la investigaci\u00f3n social sobre personas con discapacidad", "type" : "article-journal" }, "uris" : [ "http://www.mendeley.com/documents/?uuid=5e4ddebe-e120-4c41-92de-e19982ccf853", "http://www.mendeley.com/documents/?uuid=409a9cb1-032c-4012-afd3-beab21eafc2b" ] } ], "mendeley" : { "formattedCitation" : "(Toboso-Mart\u00edn &amp; Rogero-Garc\u00eda, 2012)", "plainTextFormattedCitation" : "(Toboso-Mart\u00edn &amp; Rogero-Garc\u00eda, 2012)", "previouslyFormattedCitation" : "(Toboso-Mart\u00edn &amp; Rogero-Garc\u00eda, 2012)" }, "properties" : {  }, "schema" : "https://github.com/citation-style-language/schema/raw/master/csl-citation.json" }</w:instrText>
      </w:r>
      <w:r w:rsidR="00F135AD" w:rsidRPr="002F4FC3">
        <w:rPr>
          <w:rFonts w:eastAsiaTheme="minorEastAsia"/>
          <w:b/>
          <w:i/>
          <w:szCs w:val="28"/>
        </w:rPr>
        <w:fldChar w:fldCharType="separate"/>
      </w:r>
      <w:r w:rsidRPr="002F4FC3">
        <w:rPr>
          <w:rFonts w:eastAsiaTheme="minorEastAsia"/>
          <w:b/>
          <w:i/>
          <w:noProof/>
          <w:szCs w:val="28"/>
        </w:rPr>
        <w:t>(Toboso-Martín &amp; Rogero-García, 2012)</w:t>
      </w:r>
      <w:r w:rsidR="00F135AD" w:rsidRPr="002F4FC3">
        <w:rPr>
          <w:rFonts w:eastAsiaTheme="minorEastAsia"/>
          <w:b/>
          <w:i/>
          <w:szCs w:val="28"/>
        </w:rPr>
        <w:fldChar w:fldCharType="end"/>
      </w:r>
      <w:r w:rsidRPr="002F4FC3">
        <w:rPr>
          <w:rFonts w:eastAsiaTheme="minorEastAsia"/>
          <w:b/>
          <w:i/>
          <w:szCs w:val="28"/>
        </w:rPr>
        <w:t xml:space="preserve"> señalados en un apartado anterior relacionado con este concepto en específico, lo que recalca la relevancia de considerarlo como parte del análisis.</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En el Artículo 5. Ámbito de aplicación en materia de igualdad de oportunidades, no discriminación y accesibilidad universal. Las medidas específicas para garantizar la igualdad de oportunidades, la no discriminación y la accesibilidad universal. </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Señala diversos ámbitos de acción de la vida tanto tangibles como intangibles, siendo el primero “Telecomunicaciones y sociedad de la información”. No menciona sitios web ni recursos tecnológicos específicos, lo que puede justificarse por los avances propios de la tecnología.</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En el CAPÍTULO V Derecho a la vida independiente, Artículo 22 señala: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lastRenderedPageBreak/>
        <w:t xml:space="preserve">1. Las personas con discapacidad tienen derecho a vivir de forma independiente y a participar plenamente en todos los aspectos de la vida. Para ello, los poderes públicos adoptarán las medidas pertinentes para asegurar la accesibilidad universal, en igualdad de condiciones con las demás personas, en los entornos, procesos, bienes, productos y servicios, el transporte, la información y las comunicaciones, incluidos los sistemas y las tecnologías de la información y las comunicaciones, así como los medios de comunicación social y en otros servicios e instalaciones abiertos al público o de uso público, tanto en zonas urbanas como rurales.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2. En el ámbito del empleo, las condiciones básicas de accesibilidad y no discriminación a las que se refiere este capítulo serán de aplicación con carácter supletorio respecto a lo previsto en la legislación laboral.</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 xml:space="preserve">En el punto 1 se refuerza lo señalado en el Artículo 2 sobre definiciones y Artículo 5 ámbito de acción de la accesibilidad universal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Artículo 24. Condiciones básicas de accesibilidad y no discriminación en el ámbito de los productos y servicios relacionados con la sociedad de la información y medios de comunicación social.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1. Las condiciones básicas de accesibilidad y no discriminación para el acceso y utilización de las tecnologías, productos y servicios relacionados con la sociedad de la información y de cualquier medio de comunicación social serán exigibles en los plazos y términos establecidos reglamentariamente. No obstante, las condiciones previstas en el párrafo anterior serán exigibles para todas estas tecnologías, productos y servicios, de acuerdo con las condiciones y plazos máximos previstos en la disposición adicional tercera.1.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2. En el plazo de dos años desde la entrada en vigor de esta ley, el Gobierno deberá realizar los estudios integrales sobre la accesibilidad a dichos bienes o servicios que se consideren más relevantes desde el punto de vista de la no discriminación y accesibilidad universal.</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Este artículo 24 menciona en específico la sociedad de la información y medios de comunicación social, que sin duda se refieren a todo ámbito de comunicación entre personas que se establecen por Internet, sean redes sociales o difusión de información vía web.</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TÍTULO III Infracciones y sanciones en materia de igualdad de oportunidades, no discriminación y accesibilidad universal de las personas con discapacidad CAPÍTULO I Régimen común de infracciones y sanciones. Del artículo 78 al 93 se establece todo lo relacionado con sanciones por incumplimiento de la ley, indicándose incluso los montos en euros que deben pagar las instituciones infractoras.</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Finalmente se establece en la Disposición adicional tercera. Exigibilidad de las condiciones básicas de accesibilidad y no discriminación. Estos plazos son los siguientes:</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a) Para el acceso y utilización de las tecnologías, productos y servicios relacionados con la sociedad de la información y de cualquier medio de comunicación social: Productos y servicios nuevos, incluidas las campañas institucionales que se difundan en soporte audiovisual: 4 de diciembre de 2009. Productos y servicios existentes el 4 de diciembre de 2009, que sean susceptibles de ajustes razonables: 4 de diciembre de 2013.</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Esto significa que los sitios web y todo lo relacionado con tecnología deben cumplir con esta Ley, a la fecha ya 5 años dados para el cumplimiento del plazo máximo.</w:t>
      </w:r>
    </w:p>
    <w:p w:rsidR="006538AF" w:rsidRPr="002F4FC3" w:rsidRDefault="006538AF" w:rsidP="006538AF">
      <w:pPr>
        <w:keepNext/>
        <w:keepLines/>
        <w:spacing w:before="40" w:after="0" w:line="240" w:lineRule="auto"/>
        <w:outlineLvl w:val="2"/>
        <w:rPr>
          <w:rFonts w:eastAsiaTheme="majorEastAsia" w:cstheme="majorBidi"/>
          <w:b/>
          <w:szCs w:val="24"/>
        </w:rPr>
      </w:pPr>
      <w:bookmarkStart w:id="1" w:name="_Toc40173894"/>
      <w:r w:rsidRPr="002F4FC3">
        <w:rPr>
          <w:rFonts w:eastAsiaTheme="majorEastAsia" w:cstheme="majorBidi"/>
          <w:b/>
          <w:szCs w:val="24"/>
        </w:rPr>
        <w:t xml:space="preserve">Norma UNE 139803:2012: Requisitos de accesibilidad para contenidos en la Web </w:t>
      </w:r>
      <w:r w:rsidR="00F135AD" w:rsidRPr="002F4FC3">
        <w:rPr>
          <w:rFonts w:eastAsiaTheme="majorEastAsia" w:cstheme="majorBidi"/>
          <w:b/>
          <w:szCs w:val="24"/>
        </w:rPr>
        <w:fldChar w:fldCharType="begin" w:fldLock="1"/>
      </w:r>
      <w:r w:rsidRPr="002F4FC3">
        <w:rPr>
          <w:rFonts w:eastAsiaTheme="majorEastAsia" w:cstheme="majorBidi"/>
          <w:b/>
          <w:szCs w:val="24"/>
        </w:rPr>
        <w:instrText>ADDIN CSL_CITATION { "citationItems" : [ { "id" : "ITEM-1", "itemData" : { "author" : [ { "dropping-particle" : "", "family" : "Asociaci\u00f3n Espa\u00f1ola de Normalizaci\u00f3n y Certificaci\u00f3n", "given" : "", "non-dropping-particle" : "", "parse-names" : false, "suffix" : "" } ], "id" : "ITEM-1", "issued" : { "date-parts" : [ [ "2012" ] ] }, "page" : "26", "title" : "UNE 139803 : Requisitos de accesibilidad para contenidos en la web", "type" : "article-journal" }, "uris" : [ "http://www.mendeley.com/documents/?uuid=6553d5c4-9aaf-4a2f-abac-aab7f48700f3", "http://www.mendeley.com/documents/?uuid=a122dc36-ca96-407f-8942-69970c7e0e98" ] } ], "mendeley" : { "formattedCitation" : "(Asociaci\u00f3n Espa\u00f1ola de Normalizaci\u00f3n y Certificaci\u00f3n, 2012)", "plainTextFormattedCitation" : "(Asociaci\u00f3n Espa\u00f1ola de Normalizaci\u00f3n y Certificaci\u00f3n, 2012)", "previouslyFormattedCitation" : "(Asociaci\u00f3n Espa\u00f1ola de Normalizaci\u00f3n y Certificaci\u00f3n, 2012)" }, "properties" : {  }, "schema" : "https://github.com/citation-style-language/schema/raw/master/csl-citation.json" }</w:instrText>
      </w:r>
      <w:r w:rsidR="00F135AD" w:rsidRPr="002F4FC3">
        <w:rPr>
          <w:rFonts w:eastAsiaTheme="majorEastAsia" w:cstheme="majorBidi"/>
          <w:b/>
          <w:szCs w:val="24"/>
        </w:rPr>
        <w:fldChar w:fldCharType="separate"/>
      </w:r>
      <w:r w:rsidRPr="002F4FC3">
        <w:rPr>
          <w:rFonts w:eastAsiaTheme="majorEastAsia" w:cstheme="majorBidi"/>
          <w:b/>
          <w:noProof/>
          <w:szCs w:val="24"/>
        </w:rPr>
        <w:t>(Asociación Española de Normalización y Certificación, 2012)</w:t>
      </w:r>
      <w:r w:rsidR="00F135AD" w:rsidRPr="002F4FC3">
        <w:rPr>
          <w:rFonts w:eastAsiaTheme="majorEastAsia" w:cstheme="majorBidi"/>
          <w:b/>
          <w:szCs w:val="24"/>
        </w:rPr>
        <w:fldChar w:fldCharType="end"/>
      </w:r>
      <w:r w:rsidRPr="002F4FC3">
        <w:rPr>
          <w:rFonts w:eastAsiaTheme="majorEastAsia" w:cstheme="majorBidi"/>
          <w:b/>
          <w:szCs w:val="24"/>
        </w:rPr>
        <w:t xml:space="preserve"> Equivalente a las WCAG 2.0.</w:t>
      </w:r>
      <w:bookmarkEnd w:id="1"/>
    </w:p>
    <w:p w:rsidR="006538AF" w:rsidRPr="002F4FC3" w:rsidRDefault="006538AF" w:rsidP="006538AF">
      <w:pPr>
        <w:spacing w:after="120" w:line="240" w:lineRule="auto"/>
        <w:rPr>
          <w:rFonts w:eastAsiaTheme="minorEastAsia"/>
          <w:sz w:val="16"/>
          <w:szCs w:val="20"/>
        </w:rPr>
      </w:pP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lastRenderedPageBreak/>
        <w:t>Objeto y Campo de Acción</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Esta norma establece las características que han de cumplir la información y otros contenidos disponibles mediante tecnologías web en Internet, intranets y cualquier tipo de redes informáticas, para que puedan ser utilizados por la mayor parte de las personas, incluyendo personas con discapacidad y personas de edad avanzada, bien de forma autónoma o mediante los productos de apoyo pertinentes.</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Esta norma cubre las necesidades derivadas de la mayoría de los tipos de discapacidad, incluyendo visuales, auditivas, físicas, del habla, cognitivas, del lenguaje, de aprendizaje y neurológicas.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También se han tenido en cuenta las necesidades de las personas de edad avanzada, considerando que al envejecer pueden verse limitadas alguna, muchas o todas sus capacidades.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Por otro lado, el cumplimiento de los requisitos de accesibilidad facilita la comprensión y la navegación para todos los usuarios en diferentes circunstancias y, por lo tanto, ayuda a las personas independientemente de sus conocimientos tecnológicos y de las tecnologías que utilicen para acceder a la web.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Esta norma se aplica a los contenidos web a los que se accede mediante programas informáticos llamados aplicaciones de usuario (siendo los más habituales los llamados navegadores web), independientemente de cómo se hayan generado esos contenidos (mediante herramientas de diseño web, gestores de contenidos, etc.). </w:t>
      </w:r>
    </w:p>
    <w:p w:rsidR="006538AF" w:rsidRPr="002F4FC3" w:rsidRDefault="006538AF" w:rsidP="006538AF">
      <w:pPr>
        <w:spacing w:after="120" w:line="240" w:lineRule="auto"/>
        <w:jc w:val="both"/>
        <w:rPr>
          <w:rFonts w:eastAsiaTheme="minorEastAsia"/>
          <w:szCs w:val="28"/>
        </w:rPr>
      </w:pPr>
      <w:r w:rsidRPr="002F4FC3">
        <w:rPr>
          <w:rFonts w:eastAsiaTheme="minorEastAsia"/>
          <w:szCs w:val="28"/>
        </w:rPr>
        <w:t xml:space="preserve">Esta norma no es aplicable al software utilizado para acceder a los contenidos web (aplicaciones de usuario) ni al utilizado para generar dichos contenidos (herramientas de autor). En estos casos es de aplicación la Norma UNE 139802:2009 de requisitos de accesibilidad del software. </w:t>
      </w:r>
    </w:p>
    <w:p w:rsidR="006538AF" w:rsidRPr="002F4FC3" w:rsidRDefault="006538AF" w:rsidP="006538AF">
      <w:pPr>
        <w:spacing w:after="120" w:line="240" w:lineRule="auto"/>
        <w:jc w:val="both"/>
        <w:rPr>
          <w:rFonts w:eastAsiaTheme="minorEastAsia"/>
          <w:b/>
          <w:i/>
          <w:szCs w:val="28"/>
        </w:rPr>
      </w:pPr>
      <w:r w:rsidRPr="002F4FC3">
        <w:rPr>
          <w:rFonts w:eastAsiaTheme="minorEastAsia"/>
          <w:b/>
          <w:i/>
          <w:szCs w:val="28"/>
        </w:rPr>
        <w:t>En esencia esta Norma establece los requisitos de accesibilidad de contenidos en sitios web, informando los diferentes elementos que forman parte de las Pautas de Accesibilidad para el Contenido Web 2.0. A continuación se presenta una sistematización de estos elementos para comprender la naturaleza de esta normativa de utilidad para los sitios web de las Administraciones Públicas.</w:t>
      </w:r>
    </w:p>
    <w:p w:rsidR="006538AF" w:rsidRDefault="006538AF" w:rsidP="00825072">
      <w:pPr>
        <w:rPr>
          <w:b/>
        </w:rPr>
      </w:pPr>
    </w:p>
    <w:p w:rsidR="00422B89" w:rsidRPr="00B47937" w:rsidRDefault="00DF6800" w:rsidP="00B47937">
      <w:pPr>
        <w:jc w:val="both"/>
        <w:rPr>
          <w:b/>
        </w:rPr>
      </w:pPr>
      <w:r w:rsidRPr="00B47937">
        <w:rPr>
          <w:b/>
        </w:rPr>
        <w:t>EVAL</w:t>
      </w:r>
      <w:r w:rsidR="00807E4D" w:rsidRPr="00B47937">
        <w:rPr>
          <w:b/>
        </w:rPr>
        <w:t>UACIÓN DE LA ACCESIBILIDAD WEB</w:t>
      </w:r>
    </w:p>
    <w:p w:rsidR="00C67D9D" w:rsidRDefault="007615B4" w:rsidP="004A7A31">
      <w:pPr>
        <w:jc w:val="both"/>
      </w:pPr>
      <w:r w:rsidRPr="007615B4">
        <w:t>La Norma UNE 139803:2012: Requisitos de Accesibi</w:t>
      </w:r>
      <w:r>
        <w:t>lidad para contenidos en la web</w:t>
      </w:r>
      <w:r w:rsidRPr="007615B4">
        <w:t xml:space="preserve">, es la norma española que establece los requisitos de accesibilidad para los contenidos web. En cuanto a sus requisitos, </w:t>
      </w:r>
      <w:r w:rsidR="004A7A31">
        <w:t>referencia completamente a las p</w:t>
      </w:r>
      <w:r w:rsidRPr="007615B4">
        <w:t xml:space="preserve">autas de </w:t>
      </w:r>
      <w:r w:rsidR="004A7A31">
        <w:t>a</w:t>
      </w:r>
      <w:r w:rsidRPr="007615B4">
        <w:t>ccesibilidad para el contenido web WCAG</w:t>
      </w:r>
      <w:r>
        <w:t xml:space="preserve"> </w:t>
      </w:r>
      <w:r w:rsidR="004A7A31">
        <w:t>2.0 de la iniciativa para la accesibilidad w</w:t>
      </w:r>
      <w:r w:rsidRPr="007615B4">
        <w:t>eb (WAI) del Consorcio de la Web (W3C) por lo tanto hay una equivalencia directa entre ellas</w:t>
      </w:r>
      <w:r w:rsidR="00A6630B">
        <w:t xml:space="preserve">, se representa en la tabla </w:t>
      </w:r>
      <w:r w:rsidR="006538AF">
        <w:t>2</w:t>
      </w:r>
      <w:r w:rsidR="00A6630B">
        <w:t>.</w:t>
      </w:r>
      <w:r>
        <w:t xml:space="preserve"> </w:t>
      </w:r>
    </w:p>
    <w:p w:rsidR="00C67D9D" w:rsidRDefault="006538AF" w:rsidP="00C67D9D">
      <w:pPr>
        <w:jc w:val="center"/>
      </w:pPr>
      <w:r>
        <w:t>Tabla 2</w:t>
      </w:r>
      <w:r w:rsidR="00C67D9D">
        <w:t>. Estructura de la WCAG 2.0</w:t>
      </w:r>
    </w:p>
    <w:tbl>
      <w:tblPr>
        <w:tblStyle w:val="Tablaconcuadrcula"/>
        <w:tblW w:w="0" w:type="auto"/>
        <w:tblLook w:val="04A0"/>
      </w:tblPr>
      <w:tblGrid>
        <w:gridCol w:w="2207"/>
        <w:gridCol w:w="2207"/>
        <w:gridCol w:w="2207"/>
        <w:gridCol w:w="2207"/>
      </w:tblGrid>
      <w:tr w:rsidR="00B12A73" w:rsidTr="00B12A73">
        <w:tc>
          <w:tcPr>
            <w:tcW w:w="2207" w:type="dxa"/>
          </w:tcPr>
          <w:p w:rsidR="00B12A73" w:rsidRDefault="00B12A73" w:rsidP="00422B89">
            <w:pPr>
              <w:jc w:val="center"/>
            </w:pPr>
            <w:r>
              <w:t>WCAG</w:t>
            </w:r>
          </w:p>
        </w:tc>
        <w:tc>
          <w:tcPr>
            <w:tcW w:w="2207" w:type="dxa"/>
          </w:tcPr>
          <w:p w:rsidR="00B12A73" w:rsidRDefault="00B12A73" w:rsidP="00422B89">
            <w:pPr>
              <w:jc w:val="center"/>
            </w:pPr>
            <w:r>
              <w:t>Estructura</w:t>
            </w:r>
          </w:p>
        </w:tc>
        <w:tc>
          <w:tcPr>
            <w:tcW w:w="2207" w:type="dxa"/>
          </w:tcPr>
          <w:p w:rsidR="00B12A73" w:rsidRDefault="00B12A73" w:rsidP="00422B89">
            <w:pPr>
              <w:jc w:val="center"/>
            </w:pPr>
            <w:r>
              <w:t>Puntos de verificación criterios de éxito</w:t>
            </w:r>
          </w:p>
        </w:tc>
        <w:tc>
          <w:tcPr>
            <w:tcW w:w="2207" w:type="dxa"/>
          </w:tcPr>
          <w:p w:rsidR="00B12A73" w:rsidRDefault="00B12A73" w:rsidP="00422B89">
            <w:pPr>
              <w:jc w:val="center"/>
            </w:pPr>
            <w:r>
              <w:t>Niveles de adecuación</w:t>
            </w:r>
          </w:p>
        </w:tc>
      </w:tr>
      <w:tr w:rsidR="00B12A73" w:rsidTr="00B12A73">
        <w:tc>
          <w:tcPr>
            <w:tcW w:w="2207" w:type="dxa"/>
          </w:tcPr>
          <w:p w:rsidR="00B12A73" w:rsidRDefault="00B12A73">
            <w:r>
              <w:t>2.0</w:t>
            </w:r>
          </w:p>
          <w:p w:rsidR="00B12A73" w:rsidRDefault="00422B89">
            <w:r>
              <w:t xml:space="preserve">Año </w:t>
            </w:r>
            <w:r w:rsidR="00B12A73">
              <w:t>2008</w:t>
            </w:r>
          </w:p>
        </w:tc>
        <w:tc>
          <w:tcPr>
            <w:tcW w:w="2207" w:type="dxa"/>
          </w:tcPr>
          <w:p w:rsidR="00B12A73" w:rsidRDefault="00B12A73">
            <w:r>
              <w:t>4 principios básicos con 12 pautas que contienen un total de 61 criterios de éxito.</w:t>
            </w:r>
            <w:r w:rsidR="00FC10CC">
              <w:t xml:space="preserve"> 25 Criterios Nivel A</w:t>
            </w:r>
          </w:p>
          <w:p w:rsidR="00FC10CC" w:rsidRDefault="00FC10CC">
            <w:r>
              <w:lastRenderedPageBreak/>
              <w:t>13 Criterios Nivel AA</w:t>
            </w:r>
            <w:r>
              <w:br/>
              <w:t>23 Criterios Nivel AAA</w:t>
            </w:r>
          </w:p>
        </w:tc>
        <w:tc>
          <w:tcPr>
            <w:tcW w:w="2207" w:type="dxa"/>
          </w:tcPr>
          <w:p w:rsidR="00B12A73" w:rsidRDefault="00B12A73">
            <w:r>
              <w:lastRenderedPageBreak/>
              <w:t>Los criterios de éxito tienen asignados un nivel de adecuación A, AA ó AAA.</w:t>
            </w:r>
          </w:p>
          <w:p w:rsidR="00FC10CC" w:rsidRDefault="00FC10CC">
            <w:r>
              <w:br/>
            </w:r>
          </w:p>
        </w:tc>
        <w:tc>
          <w:tcPr>
            <w:tcW w:w="2207" w:type="dxa"/>
          </w:tcPr>
          <w:p w:rsidR="00B12A73" w:rsidRDefault="00B12A73">
            <w:r>
              <w:lastRenderedPageBreak/>
              <w:t>Nivel A, AA, AAA</w:t>
            </w:r>
          </w:p>
        </w:tc>
      </w:tr>
    </w:tbl>
    <w:p w:rsidR="00C67D9D" w:rsidRDefault="00C67D9D">
      <w:r>
        <w:lastRenderedPageBreak/>
        <w:t>Fuente: elaboración propia.</w:t>
      </w:r>
    </w:p>
    <w:p w:rsidR="00B12A73" w:rsidRDefault="00041526" w:rsidP="004A7A31">
      <w:pPr>
        <w:jc w:val="both"/>
      </w:pPr>
      <w:r>
        <w:t xml:space="preserve">La </w:t>
      </w:r>
      <w:r w:rsidRPr="00DE3127">
        <w:t>LEY 56/2007, 28 diciembre</w:t>
      </w:r>
      <w:r w:rsidR="00423249">
        <w:t xml:space="preserve"> </w:t>
      </w:r>
      <w:r w:rsidR="00F135AD">
        <w:fldChar w:fldCharType="begin" w:fldLock="1"/>
      </w:r>
      <w:r w:rsidR="006538AF">
        <w:instrText>ADDIN CSL_CITATION { "citationItems" : [ { "id" : "ITEM-1", "itemData" : { "author" : [ { "dropping-particle" : "", "family" : "BOE", "given" : "", "non-dropping-particle" : "", "parse-names" : false, "suffix" : "" } ], "container-title" : "Agencia Estatal, Bolet\u00edn Oficial del Estado BOE", "id" : "ITEM-1", "issued" : { "date-parts" : [ [ "2007" ] ] }, "page" : "53701-53719", "title" : "Ley 56/2007, de 28 de diciembre, de Medidas de Impulso de la Sociedad de la Informaci\u00f3n.", "type" : "article-journal", "volume" : "312" }, "uris" : [ "http://www.mendeley.com/documents/?uuid=b047f795-57e2-44b0-a722-60b866ebb6e9" ] } ], "mendeley" : { "formattedCitation" : "(BOE, 2007)", "plainTextFormattedCitation" : "(BOE, 2007)", "previouslyFormattedCitation" : "(BOE, 2007)" }, "properties" : {  }, "schema" : "https://github.com/citation-style-language/schema/raw/master/csl-citation.json" }</w:instrText>
      </w:r>
      <w:r w:rsidR="00F135AD">
        <w:fldChar w:fldCharType="separate"/>
      </w:r>
      <w:r w:rsidR="006538AF" w:rsidRPr="006538AF">
        <w:rPr>
          <w:noProof/>
        </w:rPr>
        <w:t>(BOE, 2007)</w:t>
      </w:r>
      <w:r w:rsidR="00F135AD">
        <w:fldChar w:fldCharType="end"/>
      </w:r>
      <w:r w:rsidRPr="00DE3127">
        <w:t xml:space="preserve"> Medidas de Impulso d</w:t>
      </w:r>
      <w:r w:rsidR="004A7A31">
        <w:t>e la Sociedad de la Información, e</w:t>
      </w:r>
      <w:r>
        <w:t xml:space="preserve">stablece una modificación a la redacción de la disposición adicional quinta de la Ley 34/2002, de 11 de julio, que se relaciona con </w:t>
      </w:r>
      <w:r w:rsidRPr="00041526">
        <w:rPr>
          <w:i/>
          <w:iCs/>
        </w:rPr>
        <w:t>Accesibilidad para las personas con discapacidad y de edad avanzada a la información proporcionada por medios electrónicos</w:t>
      </w:r>
      <w:r w:rsidRPr="00041526">
        <w:t>.</w:t>
      </w:r>
      <w:r>
        <w:t xml:space="preserve"> Estableciéndose los siguientes puntos</w:t>
      </w:r>
      <w:r w:rsidR="00732B19">
        <w:t xml:space="preserve"> específicos</w:t>
      </w:r>
      <w:r>
        <w:t>:</w:t>
      </w:r>
    </w:p>
    <w:p w:rsidR="00041526" w:rsidRPr="00016D19" w:rsidRDefault="00041526" w:rsidP="004A7A31">
      <w:pPr>
        <w:ind w:left="567"/>
        <w:rPr>
          <w:sz w:val="20"/>
        </w:rPr>
      </w:pPr>
      <w:r w:rsidRPr="00016D19">
        <w:rPr>
          <w:sz w:val="20"/>
        </w:rPr>
        <w:t>Uno. Las Administraciones públicas adoptarán las medidas necesarias para que la información disponible en sus respectivas páginas de Internet pueda ser accesible a personas con discapacidad y de edad avanzada, de acuerdo con los criterios de accesibilidad al contenido generalmente reconocidos, antes del 31 de diciembre de 2005. </w:t>
      </w:r>
      <w:r w:rsidR="00232110" w:rsidRPr="00016D19">
        <w:rPr>
          <w:sz w:val="20"/>
        </w:rPr>
        <w:br/>
      </w:r>
      <w:r w:rsidRPr="00016D19">
        <w:rPr>
          <w:sz w:val="20"/>
        </w:rPr>
        <w:br/>
        <w:t>A partir del 31 de diciembre de 2008, las páginas de Internet de las Administraciones Públicas satisfarán, como mínimo, el nivel medio de los criterios de accesibilidad al contenido generalmente reconocidos. Excepcionalmente, esta obligación no será aplicable cuando una funcionalidad o servicio no disponga de una solución tecnológica que permita su accesibilidad. </w:t>
      </w:r>
      <w:r w:rsidR="00232110" w:rsidRPr="00016D19">
        <w:rPr>
          <w:sz w:val="20"/>
        </w:rPr>
        <w:br/>
      </w:r>
      <w:r w:rsidRPr="00016D19">
        <w:rPr>
          <w:sz w:val="20"/>
        </w:rPr>
        <w:br/>
        <w:t>Las Administraciones Públicas exigirán que tanto las páginas de Internet cuyo diseño o mantenimiento financien total o parcialmente como las páginas de Internet de entidades y empresas que se encarguen de gestionar servicios públicos apliquen los criterios de accesibilidad antes mencionados. En particular, será obligatorio lo expresado en este apartado para las páginas de Internet y sus contenidos de los Centros públicos educativos, de formación y universitarios, así como, de los Centros privados que obtengan financiación pública. </w:t>
      </w:r>
      <w:r w:rsidR="00232110" w:rsidRPr="00016D19">
        <w:rPr>
          <w:sz w:val="20"/>
        </w:rPr>
        <w:br/>
      </w:r>
      <w:r w:rsidRPr="00016D19">
        <w:rPr>
          <w:sz w:val="20"/>
        </w:rPr>
        <w:br/>
        <w:t>Las páginas de Internet de las Administraciones Públicas deberán ofrecer al usuario información sobre su nivel de accesibilidad y facilitar un sistema de contacto para que puedan transmitir las dificultades de acceso al contenido de las páginas de Internet o formular cualquier queja, consulta o sugerencia de mejora.</w:t>
      </w:r>
    </w:p>
    <w:p w:rsidR="00041526" w:rsidRPr="00016D19" w:rsidRDefault="00041526" w:rsidP="00016D19">
      <w:pPr>
        <w:ind w:left="567"/>
        <w:rPr>
          <w:sz w:val="20"/>
        </w:rPr>
      </w:pPr>
      <w:r w:rsidRPr="00016D19">
        <w:rPr>
          <w:sz w:val="20"/>
        </w:rPr>
        <w:t>Dos. Igualmente, se promoverá la adopción de normas de accesibilidad por los prestadores de servicios y los fabricantes de equipos y software, para facilitar el acceso de las personas con discapacidad o de edad avanzada a los contenidos digitales.</w:t>
      </w:r>
    </w:p>
    <w:p w:rsidR="00041526" w:rsidRPr="00016D19" w:rsidRDefault="00041526" w:rsidP="00016D19">
      <w:pPr>
        <w:ind w:left="567"/>
        <w:rPr>
          <w:sz w:val="20"/>
        </w:rPr>
      </w:pPr>
      <w:r w:rsidRPr="00016D19">
        <w:rPr>
          <w:sz w:val="20"/>
        </w:rPr>
        <w:t>Tres. Las Administraciones Públicas promoverán medidas de sensibilización, educación y formación sobre accesibilidad con objeto de promover que los titulares de otras páginas de Internet incorporen progresivamente los criterios de accesibilidad.</w:t>
      </w:r>
    </w:p>
    <w:p w:rsidR="00041526" w:rsidRPr="00016D19" w:rsidRDefault="00041526" w:rsidP="00016D19">
      <w:pPr>
        <w:ind w:left="567"/>
        <w:rPr>
          <w:sz w:val="20"/>
        </w:rPr>
      </w:pPr>
      <w:r w:rsidRPr="00016D19">
        <w:rPr>
          <w:sz w:val="20"/>
        </w:rPr>
        <w:t>Cuatro. Los incumplimientos de las obligaciones de accesibilidad establecidas en esta Disposición adicional estarán sometidos al régimen de infracciones y sanciones vigente en materia de igualdad de oportunidades, no discriminación y accesibilidad universal de las personas con discapacidad.</w:t>
      </w:r>
    </w:p>
    <w:p w:rsidR="00016D19" w:rsidRDefault="00016D19" w:rsidP="00016D19">
      <w:pPr>
        <w:jc w:val="both"/>
      </w:pPr>
      <w:r>
        <w:t>Esta ley junto con definir las instituciones afectadas por esta normativa, o</w:t>
      </w:r>
      <w:r w:rsidRPr="00016D19">
        <w:t xml:space="preserve">bliga a las empresas que cumplan una serie de condiciones a satisfacer un nivel de accesibilidad en sus páginas web </w:t>
      </w:r>
      <w:r>
        <w:t xml:space="preserve">equivalente al </w:t>
      </w:r>
      <w:r w:rsidRPr="0048610E">
        <w:rPr>
          <w:b/>
        </w:rPr>
        <w:t>nivel</w:t>
      </w:r>
      <w:r w:rsidR="00787286">
        <w:t xml:space="preserve"> de conformidad</w:t>
      </w:r>
      <w:r>
        <w:t xml:space="preserve"> AA del W3C con fecha </w:t>
      </w:r>
      <w:r w:rsidR="00541ED2">
        <w:t>31 de diciembre de 2008.</w:t>
      </w:r>
    </w:p>
    <w:p w:rsidR="00FC10CC" w:rsidRDefault="00FC10CC" w:rsidP="00FC10CC">
      <w:r>
        <w:t xml:space="preserve">Considerando la normativa española que exige cumplir con el nivel AA deberían </w:t>
      </w:r>
      <w:r w:rsidR="00D1615D">
        <w:t>satisfacer</w:t>
      </w:r>
      <w:r>
        <w:t xml:space="preserve"> con los siguientes criterios de éxito: 25 Criterios Nivel A; 13 Criterios Nivel AA, total 38 criterios.</w:t>
      </w:r>
    </w:p>
    <w:p w:rsidR="00D57CFF" w:rsidRPr="0048610E" w:rsidRDefault="00E172AA">
      <w:pPr>
        <w:rPr>
          <w:b/>
        </w:rPr>
      </w:pPr>
      <w:r w:rsidRPr="0048610E">
        <w:rPr>
          <w:b/>
        </w:rPr>
        <w:lastRenderedPageBreak/>
        <w:t>S</w:t>
      </w:r>
      <w:r w:rsidR="00423249">
        <w:rPr>
          <w:b/>
        </w:rPr>
        <w:t>itios web seleccionados</w:t>
      </w:r>
    </w:p>
    <w:p w:rsidR="00E172AA" w:rsidRDefault="00E172AA" w:rsidP="00E172AA">
      <w:pPr>
        <w:jc w:val="both"/>
      </w:pPr>
      <w:r>
        <w:t xml:space="preserve">Considerando la normativa señalada anteriormente, que establece un plazo para que los sitios web cumplan con 38 criterios de éxitos de la Norma WCAG 2.0 para </w:t>
      </w:r>
      <w:r w:rsidR="00CA59DA">
        <w:t>satisfacer</w:t>
      </w:r>
      <w:r>
        <w:t xml:space="preserve"> el nivel AA, s</w:t>
      </w:r>
      <w:r w:rsidR="00732B19">
        <w:t>e defini</w:t>
      </w:r>
      <w:r w:rsidR="00D1615D">
        <w:t>eron si</w:t>
      </w:r>
      <w:r w:rsidR="00CA59DA">
        <w:t>tios web gubernamentales, uno a nivel</w:t>
      </w:r>
      <w:r>
        <w:t xml:space="preserve"> país</w:t>
      </w:r>
      <w:r w:rsidR="00CA59DA">
        <w:t xml:space="preserve"> y otro de la Comunidad Autónoma de Castilla y León</w:t>
      </w:r>
      <w:r>
        <w:t>.</w:t>
      </w:r>
      <w:r w:rsidR="0048610E">
        <w:t xml:space="preserve"> Estos son: </w:t>
      </w:r>
    </w:p>
    <w:p w:rsidR="00D57CFF" w:rsidRDefault="006538AF" w:rsidP="0048610E">
      <w:pPr>
        <w:jc w:val="both"/>
      </w:pPr>
      <w:r>
        <w:t>Tabla 3</w:t>
      </w:r>
      <w:r w:rsidR="00A6630B">
        <w:t xml:space="preserve"> se presenta lo expuesto en torno a accesibilidad y los iconos de la web del </w:t>
      </w:r>
      <w:r w:rsidR="0048610E">
        <w:t xml:space="preserve">Ministerio de Educación, Cultura y Deporte:  </w:t>
      </w:r>
      <w:hyperlink r:id="rId10" w:history="1">
        <w:r w:rsidR="00B12A73" w:rsidRPr="00860287">
          <w:rPr>
            <w:rStyle w:val="Hipervnculo"/>
          </w:rPr>
          <w:t>https://www.mecd.gob.es/portada-mecd/</w:t>
        </w:r>
      </w:hyperlink>
      <w:r w:rsidR="00B12A73">
        <w:t xml:space="preserve"> </w:t>
      </w:r>
    </w:p>
    <w:p w:rsidR="00CA59DA" w:rsidRDefault="00D1615D" w:rsidP="0048610E">
      <w:pPr>
        <w:jc w:val="both"/>
      </w:pPr>
      <w:r>
        <w:t xml:space="preserve">Tabla </w:t>
      </w:r>
      <w:r w:rsidR="006538AF">
        <w:t>3</w:t>
      </w:r>
      <w:r>
        <w:t>.- Indicaci</w:t>
      </w:r>
      <w:r w:rsidR="00B47937">
        <w:t xml:space="preserve">ones de accesibilidad en el </w:t>
      </w:r>
      <w:r>
        <w:t>sitio del Ministerio de Educación, Cultura y Deporte.</w:t>
      </w:r>
    </w:p>
    <w:tbl>
      <w:tblPr>
        <w:tblStyle w:val="Tablaconcuadrcula"/>
        <w:tblW w:w="10343" w:type="dxa"/>
        <w:tblLayout w:type="fixed"/>
        <w:tblLook w:val="04A0"/>
      </w:tblPr>
      <w:tblGrid>
        <w:gridCol w:w="6374"/>
        <w:gridCol w:w="3969"/>
      </w:tblGrid>
      <w:tr w:rsidR="005A0EEB" w:rsidTr="005A0EEB">
        <w:tc>
          <w:tcPr>
            <w:tcW w:w="6374" w:type="dxa"/>
          </w:tcPr>
          <w:p w:rsidR="005A0EEB" w:rsidRDefault="005A0EEB" w:rsidP="0048610E">
            <w:pPr>
              <w:jc w:val="both"/>
              <w:rPr>
                <w:noProof/>
                <w:lang w:eastAsia="es-CL"/>
              </w:rPr>
            </w:pPr>
            <w:r>
              <w:rPr>
                <w:noProof/>
                <w:lang w:eastAsia="es-CL"/>
              </w:rPr>
              <w:t>Accesibilidad</w:t>
            </w:r>
          </w:p>
        </w:tc>
        <w:tc>
          <w:tcPr>
            <w:tcW w:w="3969" w:type="dxa"/>
          </w:tcPr>
          <w:p w:rsidR="005A0EEB" w:rsidRDefault="00423249" w:rsidP="0048610E">
            <w:pPr>
              <w:jc w:val="both"/>
              <w:rPr>
                <w:noProof/>
                <w:lang w:eastAsia="es-CL"/>
              </w:rPr>
            </w:pPr>
            <w:r>
              <w:rPr>
                <w:noProof/>
                <w:lang w:eastAsia="es-CL"/>
              </w:rPr>
              <w:t>Iconos</w:t>
            </w:r>
          </w:p>
        </w:tc>
      </w:tr>
      <w:tr w:rsidR="005A0EEB" w:rsidTr="005A0EEB">
        <w:tc>
          <w:tcPr>
            <w:tcW w:w="6374" w:type="dxa"/>
          </w:tcPr>
          <w:p w:rsidR="005A0EEB" w:rsidRDefault="005A0EEB" w:rsidP="0048610E">
            <w:pPr>
              <w:jc w:val="both"/>
              <w:rPr>
                <w:noProof/>
                <w:lang w:eastAsia="es-CL"/>
              </w:rPr>
            </w:pPr>
            <w:r>
              <w:rPr>
                <w:noProof/>
                <w:lang w:eastAsia="es-CL"/>
              </w:rPr>
              <w:t>En cumplimiento de los principios de accesibilidad y diseño universal establecidos en 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 el Ministerio de Educación, Cultura y Deporte trabaja para garantizar que todos los ciudadanos – con especial atención a las personas con algún tipo de discapacidad y mayores – que se relacionesn con el Departamento a través de sus portales puedan acceder a la información y los servicios electrónicos en igualdad de condiciones, con independencia de sus circunstancias personales, medios o conocimientos.</w:t>
            </w:r>
          </w:p>
          <w:p w:rsidR="005A0EEB" w:rsidRDefault="005A0EEB" w:rsidP="0048610E">
            <w:pPr>
              <w:jc w:val="both"/>
              <w:rPr>
                <w:noProof/>
                <w:lang w:eastAsia="es-CL"/>
              </w:rPr>
            </w:pPr>
            <w:r>
              <w:rPr>
                <w:noProof/>
                <w:lang w:eastAsia="es-CL"/>
              </w:rPr>
              <w:t>Esta web ha sido desarrollada siguiendo la Norma UNE 139803-2012 y se ajusta a las pautas definidas por el grupo de trabajo permanente web Accesibility Initiative (WAI) del Consorcio para la World Wide Web (W3C) para su nivel Doble –A. Actualmente este nivel Doble – A se cumple en la gran mayoría de las páginas.</w:t>
            </w:r>
          </w:p>
          <w:p w:rsidR="005A0EEB" w:rsidRDefault="005A0EEB" w:rsidP="0048610E">
            <w:pPr>
              <w:jc w:val="both"/>
              <w:rPr>
                <w:noProof/>
                <w:lang w:eastAsia="es-CL"/>
              </w:rPr>
            </w:pPr>
            <w:r>
              <w:rPr>
                <w:noProof/>
                <w:lang w:eastAsia="es-CL"/>
              </w:rPr>
              <w:t>Última revisión de accesibilidad: noviembre 2016.</w:t>
            </w:r>
          </w:p>
        </w:tc>
        <w:tc>
          <w:tcPr>
            <w:tcW w:w="3969" w:type="dxa"/>
          </w:tcPr>
          <w:p w:rsidR="005A0EEB" w:rsidRDefault="005A0EEB" w:rsidP="0048610E">
            <w:pPr>
              <w:jc w:val="both"/>
              <w:rPr>
                <w:noProof/>
                <w:lang w:eastAsia="es-CL"/>
              </w:rPr>
            </w:pPr>
            <w:r>
              <w:rPr>
                <w:noProof/>
                <w:lang w:val="es-ES" w:eastAsia="es-ES"/>
              </w:rPr>
              <w:drawing>
                <wp:inline distT="0" distB="0" distL="0" distR="0">
                  <wp:extent cx="2483090" cy="107878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9185" t="68720" r="38305" b="13387"/>
                          <a:stretch/>
                        </pic:blipFill>
                        <pic:spPr bwMode="auto">
                          <a:xfrm>
                            <a:off x="0" y="0"/>
                            <a:ext cx="2569395" cy="11162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D1615D" w:rsidRDefault="00D1615D" w:rsidP="00D1615D">
      <w:pPr>
        <w:jc w:val="both"/>
        <w:rPr>
          <w:noProof/>
          <w:lang w:eastAsia="es-CL"/>
        </w:rPr>
      </w:pPr>
    </w:p>
    <w:p w:rsidR="00CA59DA" w:rsidRDefault="006538AF" w:rsidP="00D1615D">
      <w:pPr>
        <w:jc w:val="both"/>
        <w:rPr>
          <w:noProof/>
          <w:lang w:eastAsia="es-CL"/>
        </w:rPr>
      </w:pPr>
      <w:r>
        <w:t>Tabla 4</w:t>
      </w:r>
      <w:r w:rsidR="00A6630B">
        <w:t xml:space="preserve"> se presenta lo expuesto en torno a accesibilidad y los iconos de la web de la </w:t>
      </w:r>
      <w:r w:rsidR="00D1615D">
        <w:t xml:space="preserve">Comunidad Autónoma Junta de Castilla y León: </w:t>
      </w:r>
      <w:hyperlink r:id="rId12" w:history="1">
        <w:r w:rsidR="00D1615D" w:rsidRPr="00BD20F7">
          <w:rPr>
            <w:rStyle w:val="Hipervnculo"/>
          </w:rPr>
          <w:t>http://www.jcyl.es/</w:t>
        </w:r>
      </w:hyperlink>
    </w:p>
    <w:p w:rsidR="005A0EEB" w:rsidRDefault="006538AF" w:rsidP="00D1615D">
      <w:pPr>
        <w:jc w:val="both"/>
      </w:pPr>
      <w:r>
        <w:t>Tabla 4</w:t>
      </w:r>
      <w:r w:rsidR="00D1615D">
        <w:t>.- Indicaciones de accesibilidad en el sitio de la Comunidad Autónoma Junta de Castilla y León.</w:t>
      </w:r>
      <w:r w:rsidR="005A0EEB">
        <w:t xml:space="preserve"> </w:t>
      </w:r>
    </w:p>
    <w:tbl>
      <w:tblPr>
        <w:tblStyle w:val="Tablaconcuadrcula"/>
        <w:tblW w:w="10343" w:type="dxa"/>
        <w:tblLayout w:type="fixed"/>
        <w:tblLook w:val="04A0"/>
      </w:tblPr>
      <w:tblGrid>
        <w:gridCol w:w="6374"/>
        <w:gridCol w:w="3969"/>
      </w:tblGrid>
      <w:tr w:rsidR="005A0EEB" w:rsidTr="00863B2F">
        <w:tc>
          <w:tcPr>
            <w:tcW w:w="6374" w:type="dxa"/>
          </w:tcPr>
          <w:p w:rsidR="005A0EEB" w:rsidRDefault="005A0EEB" w:rsidP="00863B2F">
            <w:pPr>
              <w:jc w:val="both"/>
              <w:rPr>
                <w:noProof/>
                <w:lang w:eastAsia="es-CL"/>
              </w:rPr>
            </w:pPr>
            <w:r>
              <w:rPr>
                <w:noProof/>
                <w:lang w:eastAsia="es-CL"/>
              </w:rPr>
              <w:t>Accesibilidad</w:t>
            </w:r>
          </w:p>
        </w:tc>
        <w:tc>
          <w:tcPr>
            <w:tcW w:w="3969" w:type="dxa"/>
          </w:tcPr>
          <w:p w:rsidR="005A0EEB" w:rsidRDefault="00423249" w:rsidP="00863B2F">
            <w:pPr>
              <w:jc w:val="both"/>
              <w:rPr>
                <w:noProof/>
                <w:lang w:eastAsia="es-CL"/>
              </w:rPr>
            </w:pPr>
            <w:r>
              <w:rPr>
                <w:noProof/>
                <w:lang w:eastAsia="es-CL"/>
              </w:rPr>
              <w:t>Iconos</w:t>
            </w:r>
          </w:p>
        </w:tc>
      </w:tr>
      <w:tr w:rsidR="005A0EEB" w:rsidTr="00863B2F">
        <w:tc>
          <w:tcPr>
            <w:tcW w:w="6374" w:type="dxa"/>
          </w:tcPr>
          <w:p w:rsidR="005A0EEB" w:rsidRDefault="004E7F39" w:rsidP="004E7F39">
            <w:pPr>
              <w:jc w:val="both"/>
              <w:rPr>
                <w:noProof/>
                <w:lang w:eastAsia="es-CL"/>
              </w:rPr>
            </w:pPr>
            <w:r>
              <w:rPr>
                <w:noProof/>
                <w:lang w:eastAsia="es-CL"/>
              </w:rPr>
              <w:t>Uno de los principales objetivos de los portales web de la Junta de Castillo y León es que todas las personas puedan navegar por los contenidos de los sitios web sin encontrar dificultades de acceso, con independencia de la edad, de algún tipo de discpacidad o de tener un acceso a la web a través de tecnologías poco convencionales.</w:t>
            </w:r>
          </w:p>
          <w:p w:rsidR="004E7F39" w:rsidRDefault="004E7F39" w:rsidP="004E7F39">
            <w:pPr>
              <w:jc w:val="both"/>
              <w:rPr>
                <w:noProof/>
                <w:lang w:eastAsia="es-CL"/>
              </w:rPr>
            </w:pPr>
            <w:r>
              <w:rPr>
                <w:noProof/>
                <w:lang w:eastAsia="es-CL"/>
              </w:rPr>
              <w:t>A tal fin, el desarrollo de los portales web se ha ba</w:t>
            </w:r>
            <w:r w:rsidR="004A7A31">
              <w:rPr>
                <w:noProof/>
                <w:lang w:eastAsia="es-CL"/>
              </w:rPr>
              <w:t>sado en el cumplimiento de las pautas de a</w:t>
            </w:r>
            <w:r>
              <w:rPr>
                <w:noProof/>
                <w:lang w:eastAsia="es-CL"/>
              </w:rPr>
              <w:t xml:space="preserve">ccesibilidad de </w:t>
            </w:r>
            <w:r w:rsidR="004A7A31">
              <w:rPr>
                <w:noProof/>
                <w:lang w:eastAsia="es-CL"/>
              </w:rPr>
              <w:t>c</w:t>
            </w:r>
            <w:r>
              <w:rPr>
                <w:noProof/>
                <w:lang w:eastAsia="es-CL"/>
              </w:rPr>
              <w:t>ontenido e</w:t>
            </w:r>
            <w:r w:rsidR="004A7A31">
              <w:rPr>
                <w:noProof/>
                <w:lang w:eastAsia="es-CL"/>
              </w:rPr>
              <w:t>n la w</w:t>
            </w:r>
            <w:r>
              <w:rPr>
                <w:noProof/>
                <w:lang w:eastAsia="es-CL"/>
              </w:rPr>
              <w:t>eb 1.0 establecidas por el W3C (Consorcio de la Wordl Wide Web).</w:t>
            </w:r>
          </w:p>
          <w:p w:rsidR="004E7F39" w:rsidRDefault="004E7F39" w:rsidP="004E7F39">
            <w:pPr>
              <w:jc w:val="both"/>
              <w:rPr>
                <w:noProof/>
                <w:lang w:eastAsia="es-CL"/>
              </w:rPr>
            </w:pPr>
          </w:p>
        </w:tc>
        <w:tc>
          <w:tcPr>
            <w:tcW w:w="3969" w:type="dxa"/>
          </w:tcPr>
          <w:p w:rsidR="005A0EEB" w:rsidRDefault="004E7F39" w:rsidP="00863B2F">
            <w:pPr>
              <w:jc w:val="both"/>
              <w:rPr>
                <w:noProof/>
                <w:lang w:eastAsia="es-CL"/>
              </w:rPr>
            </w:pPr>
            <w:r>
              <w:rPr>
                <w:noProof/>
                <w:lang w:val="es-ES" w:eastAsia="es-ES"/>
              </w:rPr>
              <w:drawing>
                <wp:inline distT="0" distB="0" distL="0" distR="0">
                  <wp:extent cx="2447507" cy="3677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35185" t="82718" r="34516" b="9185"/>
                          <a:stretch/>
                        </pic:blipFill>
                        <pic:spPr bwMode="auto">
                          <a:xfrm>
                            <a:off x="0" y="0"/>
                            <a:ext cx="2561506" cy="3848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7F39" w:rsidRDefault="004E7F39" w:rsidP="00863B2F">
            <w:pPr>
              <w:jc w:val="both"/>
              <w:rPr>
                <w:noProof/>
                <w:lang w:eastAsia="es-CL"/>
              </w:rPr>
            </w:pPr>
            <w:r>
              <w:rPr>
                <w:noProof/>
                <w:lang w:val="es-ES" w:eastAsia="es-ES"/>
              </w:rPr>
              <w:drawing>
                <wp:inline distT="0" distB="0" distL="0" distR="0">
                  <wp:extent cx="1016854" cy="863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43595" t="61335" r="43959" b="19877"/>
                          <a:stretch/>
                        </pic:blipFill>
                        <pic:spPr bwMode="auto">
                          <a:xfrm>
                            <a:off x="0" y="0"/>
                            <a:ext cx="1024106" cy="8691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5A0EEB" w:rsidRDefault="005A0EEB" w:rsidP="0048610E">
      <w:pPr>
        <w:jc w:val="both"/>
        <w:rPr>
          <w:noProof/>
          <w:lang w:eastAsia="es-CL"/>
        </w:rPr>
      </w:pPr>
    </w:p>
    <w:p w:rsidR="00AD7F32" w:rsidRDefault="00AD7F32">
      <w:pPr>
        <w:rPr>
          <w:b/>
          <w:noProof/>
          <w:lang w:eastAsia="es-CL"/>
        </w:rPr>
      </w:pPr>
      <w:r>
        <w:rPr>
          <w:b/>
          <w:noProof/>
          <w:lang w:eastAsia="es-CL"/>
        </w:rPr>
        <w:br w:type="page"/>
      </w:r>
    </w:p>
    <w:p w:rsidR="00A6630B" w:rsidRDefault="00A6630B" w:rsidP="0048610E">
      <w:pPr>
        <w:jc w:val="both"/>
        <w:rPr>
          <w:b/>
          <w:noProof/>
          <w:lang w:eastAsia="es-CL"/>
        </w:rPr>
      </w:pPr>
      <w:r>
        <w:rPr>
          <w:b/>
          <w:noProof/>
          <w:lang w:eastAsia="es-CL"/>
        </w:rPr>
        <w:lastRenderedPageBreak/>
        <w:t>Resultados evaluación sitios web españoles</w:t>
      </w:r>
    </w:p>
    <w:p w:rsidR="00446100" w:rsidRPr="00446100" w:rsidRDefault="00446100" w:rsidP="00446100">
      <w:pPr>
        <w:spacing w:after="0" w:line="240" w:lineRule="auto"/>
        <w:jc w:val="both"/>
        <w:rPr>
          <w:noProof/>
          <w:lang w:eastAsia="es-CL"/>
        </w:rPr>
      </w:pPr>
      <w:r w:rsidRPr="00446100">
        <w:rPr>
          <w:noProof/>
          <w:lang w:eastAsia="es-CL"/>
        </w:rPr>
        <w:t>Es importante verificar el cumplimiento de las directrices en la</w:t>
      </w:r>
      <w:r w:rsidR="00C67D9D">
        <w:rPr>
          <w:noProof/>
          <w:lang w:eastAsia="es-CL"/>
        </w:rPr>
        <w:t>s</w:t>
      </w:r>
      <w:r w:rsidRPr="00446100">
        <w:rPr>
          <w:noProof/>
          <w:lang w:eastAsia="es-CL"/>
        </w:rPr>
        <w:t xml:space="preserve"> página</w:t>
      </w:r>
      <w:r w:rsidR="00C67D9D">
        <w:rPr>
          <w:noProof/>
          <w:lang w:eastAsia="es-CL"/>
        </w:rPr>
        <w:t>s</w:t>
      </w:r>
      <w:r w:rsidRPr="00446100">
        <w:rPr>
          <w:noProof/>
          <w:lang w:eastAsia="es-CL"/>
        </w:rPr>
        <w:t xml:space="preserve"> señaladas por ser el ingreso al sitio.  En la T</w:t>
      </w:r>
      <w:r w:rsidR="00C67D9D">
        <w:rPr>
          <w:noProof/>
          <w:lang w:eastAsia="es-CL"/>
        </w:rPr>
        <w:t xml:space="preserve">ablas 5, se muestran </w:t>
      </w:r>
      <w:r w:rsidR="00DF4E40">
        <w:rPr>
          <w:noProof/>
          <w:lang w:eastAsia="es-CL"/>
        </w:rPr>
        <w:t xml:space="preserve"> los resultados del análisis en las </w:t>
      </w:r>
      <w:r w:rsidRPr="00446100">
        <w:rPr>
          <w:noProof/>
          <w:lang w:eastAsia="es-CL"/>
        </w:rPr>
        <w:t>página</w:t>
      </w:r>
      <w:r w:rsidR="00BC7429">
        <w:rPr>
          <w:noProof/>
          <w:lang w:eastAsia="es-CL"/>
        </w:rPr>
        <w:t>s</w:t>
      </w:r>
      <w:r w:rsidRPr="00446100">
        <w:rPr>
          <w:noProof/>
          <w:lang w:eastAsia="es-CL"/>
        </w:rPr>
        <w:t xml:space="preserve"> al utilizar la herramienta TAW, con el análisis del WCAG 2.0,  nivel A y AA, considerando lo declarado por los sitios web y las exigencias de acuerdo a la normativa, bajo los criterios: Perceptible (P), Operable (O), Comprensible (C), Robusto (R).</w:t>
      </w:r>
    </w:p>
    <w:p w:rsidR="005B329D" w:rsidRDefault="005B329D" w:rsidP="0048610E">
      <w:pPr>
        <w:jc w:val="both"/>
        <w:rPr>
          <w:b/>
          <w:noProof/>
          <w:lang w:eastAsia="es-CL"/>
        </w:rPr>
      </w:pPr>
      <w:r>
        <w:rPr>
          <w:b/>
          <w:noProof/>
          <w:lang w:eastAsia="es-CL"/>
        </w:rPr>
        <w:t xml:space="preserve"> </w:t>
      </w:r>
    </w:p>
    <w:p w:rsidR="00446100" w:rsidRPr="00C67D9D" w:rsidRDefault="00446100" w:rsidP="0048610E">
      <w:pPr>
        <w:jc w:val="both"/>
        <w:rPr>
          <w:noProof/>
          <w:lang w:eastAsia="es-CL"/>
        </w:rPr>
      </w:pPr>
      <w:r w:rsidRPr="00C67D9D">
        <w:rPr>
          <w:noProof/>
          <w:lang w:eastAsia="es-CL"/>
        </w:rPr>
        <w:t xml:space="preserve">Tabla </w:t>
      </w:r>
      <w:r w:rsidR="006538AF">
        <w:rPr>
          <w:noProof/>
          <w:lang w:eastAsia="es-CL"/>
        </w:rPr>
        <w:t>5</w:t>
      </w:r>
      <w:r w:rsidRPr="00C67D9D">
        <w:rPr>
          <w:noProof/>
          <w:lang w:eastAsia="es-CL"/>
        </w:rPr>
        <w:t>.- Análisis WCAG 2.0 sitio Ministerio de Educación, Cultura y Deporte y sitio Junta Castilla y León.</w:t>
      </w:r>
    </w:p>
    <w:tbl>
      <w:tblPr>
        <w:tblStyle w:val="Tablaconcuadrcula"/>
        <w:tblW w:w="10206" w:type="dxa"/>
        <w:tblInd w:w="-572" w:type="dxa"/>
        <w:tblLayout w:type="fixed"/>
        <w:tblLook w:val="04A0"/>
      </w:tblPr>
      <w:tblGrid>
        <w:gridCol w:w="2552"/>
        <w:gridCol w:w="1559"/>
        <w:gridCol w:w="851"/>
        <w:gridCol w:w="992"/>
        <w:gridCol w:w="1022"/>
        <w:gridCol w:w="821"/>
        <w:gridCol w:w="1134"/>
        <w:gridCol w:w="1275"/>
      </w:tblGrid>
      <w:tr w:rsidR="00CA4C12" w:rsidRPr="002B3941" w:rsidTr="00C04A22">
        <w:tc>
          <w:tcPr>
            <w:tcW w:w="2552" w:type="dxa"/>
            <w:vMerge w:val="restart"/>
          </w:tcPr>
          <w:p w:rsidR="00CA4C12" w:rsidRPr="00446100" w:rsidRDefault="00CA4C12" w:rsidP="00446100">
            <w:pPr>
              <w:spacing w:after="160"/>
              <w:jc w:val="both"/>
              <w:rPr>
                <w:b/>
                <w:noProof/>
                <w:lang w:eastAsia="es-CL"/>
              </w:rPr>
            </w:pPr>
            <w:r w:rsidRPr="00446100">
              <w:rPr>
                <w:b/>
                <w:noProof/>
                <w:lang w:eastAsia="es-CL"/>
              </w:rPr>
              <w:br w:type="page"/>
              <w:t xml:space="preserve">Sitios </w:t>
            </w:r>
          </w:p>
        </w:tc>
        <w:tc>
          <w:tcPr>
            <w:tcW w:w="1559" w:type="dxa"/>
            <w:vMerge w:val="restart"/>
          </w:tcPr>
          <w:p w:rsidR="00CA4C12" w:rsidRPr="00446100" w:rsidRDefault="00CA4C12" w:rsidP="00446100">
            <w:pPr>
              <w:spacing w:after="160"/>
              <w:jc w:val="both"/>
              <w:rPr>
                <w:b/>
                <w:noProof/>
                <w:lang w:eastAsia="es-CL"/>
              </w:rPr>
            </w:pPr>
            <w:r w:rsidRPr="00446100">
              <w:rPr>
                <w:b/>
                <w:noProof/>
                <w:lang w:eastAsia="es-CL"/>
              </w:rPr>
              <w:t>Principios</w:t>
            </w:r>
          </w:p>
        </w:tc>
        <w:tc>
          <w:tcPr>
            <w:tcW w:w="851" w:type="dxa"/>
          </w:tcPr>
          <w:p w:rsidR="00CA4C12" w:rsidRPr="00E01055" w:rsidRDefault="00CA4C12" w:rsidP="00446100">
            <w:pPr>
              <w:spacing w:after="160"/>
              <w:jc w:val="both"/>
              <w:rPr>
                <w:b/>
                <w:noProof/>
                <w:sz w:val="20"/>
                <w:lang w:eastAsia="es-CL"/>
              </w:rPr>
            </w:pPr>
            <w:r w:rsidRPr="00E01055">
              <w:rPr>
                <w:b/>
                <w:noProof/>
                <w:sz w:val="20"/>
                <w:lang w:eastAsia="es-CL"/>
              </w:rPr>
              <w:t>Problemas</w:t>
            </w:r>
          </w:p>
        </w:tc>
        <w:tc>
          <w:tcPr>
            <w:tcW w:w="992" w:type="dxa"/>
          </w:tcPr>
          <w:p w:rsidR="00CA4C12" w:rsidRPr="00E01055" w:rsidRDefault="00CA4C12" w:rsidP="00446100">
            <w:pPr>
              <w:spacing w:after="160"/>
              <w:jc w:val="both"/>
              <w:rPr>
                <w:b/>
                <w:noProof/>
                <w:sz w:val="20"/>
                <w:lang w:eastAsia="es-CL"/>
              </w:rPr>
            </w:pPr>
            <w:r w:rsidRPr="00E01055">
              <w:rPr>
                <w:b/>
                <w:noProof/>
                <w:sz w:val="20"/>
                <w:lang w:eastAsia="es-CL"/>
              </w:rPr>
              <w:t xml:space="preserve">Advertencias </w:t>
            </w:r>
          </w:p>
        </w:tc>
        <w:tc>
          <w:tcPr>
            <w:tcW w:w="1022" w:type="dxa"/>
          </w:tcPr>
          <w:p w:rsidR="00CA4C12" w:rsidRPr="00E01055" w:rsidRDefault="00CA4C12" w:rsidP="00446100">
            <w:pPr>
              <w:spacing w:after="160"/>
              <w:jc w:val="both"/>
              <w:rPr>
                <w:b/>
                <w:noProof/>
                <w:sz w:val="20"/>
                <w:lang w:eastAsia="es-CL"/>
              </w:rPr>
            </w:pPr>
            <w:r w:rsidRPr="00E01055">
              <w:rPr>
                <w:b/>
                <w:noProof/>
                <w:sz w:val="20"/>
                <w:lang w:eastAsia="es-CL"/>
              </w:rPr>
              <w:t>No verificados</w:t>
            </w:r>
          </w:p>
        </w:tc>
        <w:tc>
          <w:tcPr>
            <w:tcW w:w="821" w:type="dxa"/>
          </w:tcPr>
          <w:p w:rsidR="00CA4C12" w:rsidRPr="00E01055" w:rsidRDefault="00CA4C12" w:rsidP="00446100">
            <w:pPr>
              <w:spacing w:after="160"/>
              <w:jc w:val="both"/>
              <w:rPr>
                <w:b/>
                <w:noProof/>
                <w:sz w:val="20"/>
                <w:lang w:eastAsia="es-CL"/>
              </w:rPr>
            </w:pPr>
            <w:r w:rsidRPr="00E01055">
              <w:rPr>
                <w:b/>
                <w:noProof/>
                <w:sz w:val="20"/>
                <w:lang w:eastAsia="es-CL"/>
              </w:rPr>
              <w:t>Problemas</w:t>
            </w:r>
          </w:p>
        </w:tc>
        <w:tc>
          <w:tcPr>
            <w:tcW w:w="1134" w:type="dxa"/>
          </w:tcPr>
          <w:p w:rsidR="00CA4C12" w:rsidRPr="00E01055" w:rsidRDefault="00CA4C12" w:rsidP="00446100">
            <w:pPr>
              <w:spacing w:after="160"/>
              <w:jc w:val="both"/>
              <w:rPr>
                <w:b/>
                <w:noProof/>
                <w:sz w:val="20"/>
                <w:lang w:eastAsia="es-CL"/>
              </w:rPr>
            </w:pPr>
            <w:r w:rsidRPr="00E01055">
              <w:rPr>
                <w:b/>
                <w:noProof/>
                <w:sz w:val="20"/>
                <w:lang w:eastAsia="es-CL"/>
              </w:rPr>
              <w:t>Advertencias</w:t>
            </w:r>
          </w:p>
        </w:tc>
        <w:tc>
          <w:tcPr>
            <w:tcW w:w="1275" w:type="dxa"/>
          </w:tcPr>
          <w:p w:rsidR="00CA4C12" w:rsidRPr="00E01055" w:rsidRDefault="00CA4C12" w:rsidP="00446100">
            <w:pPr>
              <w:spacing w:after="160"/>
              <w:jc w:val="both"/>
              <w:rPr>
                <w:b/>
                <w:noProof/>
                <w:sz w:val="20"/>
                <w:lang w:eastAsia="es-CL"/>
              </w:rPr>
            </w:pPr>
            <w:r w:rsidRPr="00E01055">
              <w:rPr>
                <w:b/>
                <w:noProof/>
                <w:sz w:val="20"/>
                <w:lang w:eastAsia="es-CL"/>
              </w:rPr>
              <w:t>No verificados</w:t>
            </w:r>
          </w:p>
        </w:tc>
      </w:tr>
      <w:tr w:rsidR="00CA4C12" w:rsidRPr="002B3941" w:rsidTr="00C04A22">
        <w:tc>
          <w:tcPr>
            <w:tcW w:w="2552" w:type="dxa"/>
            <w:vMerge/>
            <w:tcBorders>
              <w:bottom w:val="single" w:sz="4" w:space="0" w:color="auto"/>
            </w:tcBorders>
          </w:tcPr>
          <w:p w:rsidR="00CA4C12" w:rsidRPr="00446100" w:rsidRDefault="00CA4C12" w:rsidP="00446100">
            <w:pPr>
              <w:spacing w:after="160"/>
              <w:jc w:val="both"/>
              <w:rPr>
                <w:b/>
                <w:noProof/>
                <w:lang w:eastAsia="es-CL"/>
              </w:rPr>
            </w:pPr>
          </w:p>
        </w:tc>
        <w:tc>
          <w:tcPr>
            <w:tcW w:w="1559" w:type="dxa"/>
            <w:vMerge/>
            <w:tcBorders>
              <w:bottom w:val="single" w:sz="4" w:space="0" w:color="auto"/>
            </w:tcBorders>
          </w:tcPr>
          <w:p w:rsidR="00CA4C12" w:rsidRPr="00446100" w:rsidRDefault="00CA4C12" w:rsidP="00446100">
            <w:pPr>
              <w:spacing w:after="160"/>
              <w:jc w:val="both"/>
              <w:rPr>
                <w:b/>
                <w:noProof/>
                <w:lang w:eastAsia="es-CL"/>
              </w:rPr>
            </w:pPr>
          </w:p>
        </w:tc>
        <w:tc>
          <w:tcPr>
            <w:tcW w:w="2865" w:type="dxa"/>
            <w:gridSpan w:val="3"/>
            <w:tcBorders>
              <w:bottom w:val="single" w:sz="4" w:space="0" w:color="auto"/>
            </w:tcBorders>
          </w:tcPr>
          <w:p w:rsidR="00CA4C12" w:rsidRPr="00446100" w:rsidRDefault="00CA4C12" w:rsidP="00446100">
            <w:pPr>
              <w:spacing w:after="160"/>
              <w:jc w:val="center"/>
              <w:rPr>
                <w:b/>
                <w:noProof/>
                <w:lang w:eastAsia="es-CL"/>
              </w:rPr>
            </w:pPr>
            <w:r w:rsidRPr="00446100">
              <w:rPr>
                <w:b/>
                <w:noProof/>
                <w:lang w:eastAsia="es-CL"/>
              </w:rPr>
              <w:t>A</w:t>
            </w:r>
          </w:p>
        </w:tc>
        <w:tc>
          <w:tcPr>
            <w:tcW w:w="3230" w:type="dxa"/>
            <w:gridSpan w:val="3"/>
            <w:tcBorders>
              <w:bottom w:val="single" w:sz="4" w:space="0" w:color="auto"/>
            </w:tcBorders>
          </w:tcPr>
          <w:p w:rsidR="00CA4C12" w:rsidRPr="00446100" w:rsidRDefault="00CA4C12" w:rsidP="00446100">
            <w:pPr>
              <w:spacing w:after="160"/>
              <w:jc w:val="center"/>
              <w:rPr>
                <w:b/>
                <w:noProof/>
                <w:lang w:eastAsia="es-CL"/>
              </w:rPr>
            </w:pPr>
            <w:r w:rsidRPr="00446100">
              <w:rPr>
                <w:b/>
                <w:noProof/>
                <w:lang w:eastAsia="es-CL"/>
              </w:rPr>
              <w:t>AA</w:t>
            </w:r>
          </w:p>
        </w:tc>
      </w:tr>
      <w:tr w:rsidR="00CA4C12" w:rsidRPr="002B3941" w:rsidTr="00C04A22">
        <w:tc>
          <w:tcPr>
            <w:tcW w:w="2552" w:type="dxa"/>
            <w:vMerge w:val="restart"/>
            <w:tcBorders>
              <w:bottom w:val="single" w:sz="6" w:space="0" w:color="auto"/>
              <w:right w:val="single" w:sz="6" w:space="0" w:color="auto"/>
            </w:tcBorders>
          </w:tcPr>
          <w:p w:rsidR="00CA4C12" w:rsidRPr="002B3941" w:rsidRDefault="00F135AD" w:rsidP="00CA4C12">
            <w:pPr>
              <w:jc w:val="both"/>
              <w:rPr>
                <w:rStyle w:val="Hipervnculo"/>
                <w:rFonts w:ascii="Arial" w:hAnsi="Arial" w:cs="Arial"/>
                <w:sz w:val="20"/>
                <w:szCs w:val="20"/>
              </w:rPr>
            </w:pPr>
            <w:hyperlink r:id="rId15" w:history="1">
              <w:r w:rsidR="00AD7F32" w:rsidRPr="00860287">
                <w:rPr>
                  <w:rStyle w:val="Hipervnculo"/>
                </w:rPr>
                <w:t>https://www.mecd.gob.es/portada-mecd/</w:t>
              </w:r>
            </w:hyperlink>
          </w:p>
        </w:tc>
        <w:tc>
          <w:tcPr>
            <w:tcW w:w="1559" w:type="dxa"/>
            <w:tcBorders>
              <w:left w:val="single" w:sz="6" w:space="0" w:color="auto"/>
              <w:bottom w:val="single" w:sz="6" w:space="0" w:color="auto"/>
              <w:right w:val="single" w:sz="6" w:space="0" w:color="auto"/>
            </w:tcBorders>
            <w:shd w:val="clear" w:color="auto" w:fill="auto"/>
          </w:tcPr>
          <w:p w:rsidR="00CA4C12" w:rsidRPr="002B3941" w:rsidRDefault="00CA4C12" w:rsidP="00CA4C12">
            <w:pPr>
              <w:jc w:val="both"/>
              <w:rPr>
                <w:rFonts w:ascii="Arial" w:hAnsi="Arial" w:cs="Arial"/>
                <w:sz w:val="20"/>
                <w:szCs w:val="20"/>
              </w:rPr>
            </w:pPr>
            <w:r w:rsidRPr="002B3941">
              <w:rPr>
                <w:rFonts w:ascii="Arial" w:hAnsi="Arial" w:cs="Arial"/>
                <w:sz w:val="20"/>
                <w:szCs w:val="20"/>
              </w:rPr>
              <w:t>Perceptible</w:t>
            </w:r>
          </w:p>
        </w:tc>
        <w:tc>
          <w:tcPr>
            <w:tcW w:w="851" w:type="dxa"/>
            <w:tcBorders>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992" w:type="dxa"/>
            <w:tcBorders>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149</w:t>
            </w:r>
          </w:p>
        </w:tc>
        <w:tc>
          <w:tcPr>
            <w:tcW w:w="1022" w:type="dxa"/>
            <w:tcBorders>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3</w:t>
            </w:r>
          </w:p>
        </w:tc>
        <w:tc>
          <w:tcPr>
            <w:tcW w:w="821" w:type="dxa"/>
            <w:tcBorders>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1134" w:type="dxa"/>
            <w:tcBorders>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198</w:t>
            </w:r>
          </w:p>
        </w:tc>
        <w:tc>
          <w:tcPr>
            <w:tcW w:w="1275" w:type="dxa"/>
            <w:tcBorders>
              <w:left w:val="single" w:sz="6" w:space="0" w:color="auto"/>
              <w:bottom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4</w:t>
            </w:r>
          </w:p>
        </w:tc>
      </w:tr>
      <w:tr w:rsidR="00CA4C12" w:rsidRPr="002B3941" w:rsidTr="00C04A22">
        <w:tc>
          <w:tcPr>
            <w:tcW w:w="2552" w:type="dxa"/>
            <w:vMerge/>
            <w:tcBorders>
              <w:top w:val="single" w:sz="6" w:space="0" w:color="auto"/>
              <w:bottom w:val="single" w:sz="6" w:space="0" w:color="auto"/>
              <w:right w:val="single" w:sz="6" w:space="0" w:color="auto"/>
            </w:tcBorders>
          </w:tcPr>
          <w:p w:rsidR="00CA4C12" w:rsidRPr="002B3941" w:rsidRDefault="00CA4C12" w:rsidP="00CA4C12">
            <w:pPr>
              <w:jc w:val="both"/>
              <w:rPr>
                <w:rStyle w:val="Hipervnculo"/>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CA4C12" w:rsidP="00CA4C12">
            <w:pPr>
              <w:jc w:val="both"/>
              <w:rPr>
                <w:rFonts w:ascii="Arial" w:hAnsi="Arial" w:cs="Arial"/>
                <w:sz w:val="20"/>
                <w:szCs w:val="20"/>
              </w:rPr>
            </w:pPr>
            <w:r w:rsidRPr="002B3941">
              <w:rPr>
                <w:rFonts w:ascii="Arial" w:hAnsi="Arial" w:cs="Arial"/>
                <w:sz w:val="20"/>
                <w:szCs w:val="20"/>
              </w:rPr>
              <w:t>Operable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58</w:t>
            </w:r>
          </w:p>
        </w:tc>
        <w:tc>
          <w:tcPr>
            <w:tcW w:w="1022"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6</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73</w:t>
            </w:r>
          </w:p>
        </w:tc>
        <w:tc>
          <w:tcPr>
            <w:tcW w:w="1275" w:type="dxa"/>
            <w:tcBorders>
              <w:top w:val="single" w:sz="6" w:space="0" w:color="auto"/>
              <w:left w:val="single" w:sz="6" w:space="0" w:color="auto"/>
              <w:bottom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8</w:t>
            </w:r>
          </w:p>
        </w:tc>
      </w:tr>
      <w:tr w:rsidR="00CA4C12" w:rsidRPr="002B3941" w:rsidTr="00C04A22">
        <w:tc>
          <w:tcPr>
            <w:tcW w:w="2552" w:type="dxa"/>
            <w:vMerge/>
            <w:tcBorders>
              <w:top w:val="single" w:sz="6" w:space="0" w:color="auto"/>
              <w:bottom w:val="single" w:sz="6" w:space="0" w:color="auto"/>
              <w:right w:val="single" w:sz="6" w:space="0" w:color="auto"/>
            </w:tcBorders>
          </w:tcPr>
          <w:p w:rsidR="00CA4C12" w:rsidRPr="002B3941" w:rsidRDefault="00CA4C12" w:rsidP="00CA4C12">
            <w:pPr>
              <w:jc w:val="both"/>
              <w:rPr>
                <w:rStyle w:val="Hipervnculo"/>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CA4C12" w:rsidP="00CA4C12">
            <w:pPr>
              <w:jc w:val="both"/>
              <w:rPr>
                <w:rFonts w:ascii="Arial" w:hAnsi="Arial" w:cs="Arial"/>
                <w:sz w:val="20"/>
                <w:szCs w:val="20"/>
              </w:rPr>
            </w:pPr>
            <w:r w:rsidRPr="002B3941">
              <w:rPr>
                <w:rFonts w:ascii="Arial" w:hAnsi="Arial" w:cs="Arial"/>
                <w:sz w:val="20"/>
                <w:szCs w:val="20"/>
              </w:rPr>
              <w:t>Comprensible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2</w:t>
            </w:r>
          </w:p>
        </w:tc>
        <w:tc>
          <w:tcPr>
            <w:tcW w:w="1022"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2</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6</w:t>
            </w:r>
          </w:p>
        </w:tc>
        <w:tc>
          <w:tcPr>
            <w:tcW w:w="1275" w:type="dxa"/>
            <w:tcBorders>
              <w:top w:val="single" w:sz="6" w:space="0" w:color="auto"/>
              <w:left w:val="single" w:sz="6" w:space="0" w:color="auto"/>
              <w:bottom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5</w:t>
            </w:r>
          </w:p>
        </w:tc>
      </w:tr>
      <w:tr w:rsidR="00CA4C12" w:rsidRPr="002B3941" w:rsidTr="00C04A22">
        <w:tc>
          <w:tcPr>
            <w:tcW w:w="2552" w:type="dxa"/>
            <w:vMerge/>
            <w:tcBorders>
              <w:top w:val="single" w:sz="6" w:space="0" w:color="auto"/>
              <w:right w:val="single" w:sz="6" w:space="0" w:color="auto"/>
            </w:tcBorders>
          </w:tcPr>
          <w:p w:rsidR="00CA4C12" w:rsidRPr="002B3941" w:rsidRDefault="00CA4C12" w:rsidP="00CA4C12">
            <w:pPr>
              <w:jc w:val="both"/>
              <w:rPr>
                <w:rStyle w:val="Hipervnculo"/>
                <w:rFonts w:ascii="Arial" w:hAnsi="Arial" w:cs="Arial"/>
                <w:sz w:val="20"/>
                <w:szCs w:val="20"/>
              </w:rPr>
            </w:pPr>
          </w:p>
        </w:tc>
        <w:tc>
          <w:tcPr>
            <w:tcW w:w="1559" w:type="dxa"/>
            <w:tcBorders>
              <w:top w:val="single" w:sz="6" w:space="0" w:color="auto"/>
              <w:left w:val="single" w:sz="6" w:space="0" w:color="auto"/>
              <w:right w:val="single" w:sz="6" w:space="0" w:color="auto"/>
            </w:tcBorders>
            <w:shd w:val="clear" w:color="auto" w:fill="auto"/>
          </w:tcPr>
          <w:p w:rsidR="00CA4C12" w:rsidRPr="002B3941" w:rsidRDefault="00CA4C12" w:rsidP="00CA4C12">
            <w:pPr>
              <w:jc w:val="both"/>
              <w:rPr>
                <w:rFonts w:ascii="Arial" w:hAnsi="Arial" w:cs="Arial"/>
                <w:sz w:val="20"/>
                <w:szCs w:val="20"/>
              </w:rPr>
            </w:pPr>
            <w:r w:rsidRPr="002B3941">
              <w:rPr>
                <w:rFonts w:ascii="Arial" w:hAnsi="Arial" w:cs="Arial"/>
                <w:sz w:val="20"/>
                <w:szCs w:val="20"/>
              </w:rPr>
              <w:t>Robusto</w:t>
            </w:r>
          </w:p>
        </w:tc>
        <w:tc>
          <w:tcPr>
            <w:tcW w:w="851" w:type="dxa"/>
            <w:tcBorders>
              <w:top w:val="single" w:sz="6" w:space="0" w:color="auto"/>
              <w:left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8</w:t>
            </w:r>
          </w:p>
        </w:tc>
        <w:tc>
          <w:tcPr>
            <w:tcW w:w="992" w:type="dxa"/>
            <w:tcBorders>
              <w:top w:val="single" w:sz="6" w:space="0" w:color="auto"/>
              <w:left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1022" w:type="dxa"/>
            <w:tcBorders>
              <w:top w:val="single" w:sz="6" w:space="0" w:color="auto"/>
              <w:left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821" w:type="dxa"/>
            <w:tcBorders>
              <w:top w:val="single" w:sz="6" w:space="0" w:color="auto"/>
              <w:left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8</w:t>
            </w:r>
          </w:p>
        </w:tc>
        <w:tc>
          <w:tcPr>
            <w:tcW w:w="1134" w:type="dxa"/>
            <w:tcBorders>
              <w:top w:val="single" w:sz="6" w:space="0" w:color="auto"/>
              <w:left w:val="single" w:sz="6" w:space="0" w:color="auto"/>
              <w:righ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c>
          <w:tcPr>
            <w:tcW w:w="1275" w:type="dxa"/>
            <w:tcBorders>
              <w:top w:val="single" w:sz="6" w:space="0" w:color="auto"/>
              <w:left w:val="single" w:sz="6" w:space="0" w:color="auto"/>
            </w:tcBorders>
            <w:shd w:val="clear" w:color="auto" w:fill="auto"/>
          </w:tcPr>
          <w:p w:rsidR="00CA4C12" w:rsidRPr="002B3941" w:rsidRDefault="003F0C44" w:rsidP="00CA4C12">
            <w:pPr>
              <w:jc w:val="both"/>
              <w:rPr>
                <w:rFonts w:ascii="Arial" w:hAnsi="Arial" w:cs="Arial"/>
                <w:sz w:val="20"/>
                <w:szCs w:val="20"/>
              </w:rPr>
            </w:pPr>
            <w:r>
              <w:rPr>
                <w:rFonts w:ascii="Arial" w:hAnsi="Arial" w:cs="Arial"/>
                <w:sz w:val="20"/>
                <w:szCs w:val="20"/>
              </w:rPr>
              <w:t>0</w:t>
            </w:r>
          </w:p>
        </w:tc>
      </w:tr>
      <w:tr w:rsidR="00071CD7" w:rsidRPr="002B3941" w:rsidTr="00C04A22">
        <w:tc>
          <w:tcPr>
            <w:tcW w:w="2552" w:type="dxa"/>
            <w:vMerge w:val="restart"/>
            <w:tcBorders>
              <w:top w:val="single" w:sz="6" w:space="0" w:color="auto"/>
              <w:right w:val="single" w:sz="6" w:space="0" w:color="auto"/>
            </w:tcBorders>
          </w:tcPr>
          <w:p w:rsidR="00071CD7" w:rsidRPr="00071CD7" w:rsidRDefault="00F135AD" w:rsidP="00071CD7">
            <w:pPr>
              <w:pBdr>
                <w:left w:val="single" w:sz="6" w:space="4" w:color="C7E3E0"/>
              </w:pBdr>
              <w:spacing w:before="48" w:after="48"/>
              <w:ind w:right="225"/>
              <w:rPr>
                <w:rFonts w:ascii="Arial" w:eastAsia="Times New Roman" w:hAnsi="Arial" w:cs="Arial"/>
                <w:color w:val="000000"/>
                <w:sz w:val="19"/>
                <w:szCs w:val="19"/>
                <w:lang w:eastAsia="es-CL"/>
              </w:rPr>
            </w:pPr>
            <w:hyperlink r:id="rId16" w:history="1">
              <w:r w:rsidR="00071CD7" w:rsidRPr="00214E6F">
                <w:rPr>
                  <w:rStyle w:val="Hipervnculo"/>
                  <w:rFonts w:ascii="Arial" w:eastAsia="Times New Roman" w:hAnsi="Arial" w:cs="Arial"/>
                  <w:sz w:val="19"/>
                  <w:szCs w:val="19"/>
                  <w:lang w:eastAsia="es-CL"/>
                </w:rPr>
                <w:t>https://www.mecd.gob.es/educacion-mecd/</w:t>
              </w:r>
            </w:hyperlink>
            <w:r w:rsidR="00071CD7">
              <w:rPr>
                <w:rFonts w:ascii="Arial" w:eastAsia="Times New Roman" w:hAnsi="Arial" w:cs="Arial"/>
                <w:color w:val="000000"/>
                <w:sz w:val="19"/>
                <w:szCs w:val="19"/>
                <w:lang w:eastAsia="es-CL"/>
              </w:rPr>
              <w:t xml:space="preserve"> </w:t>
            </w:r>
          </w:p>
          <w:p w:rsidR="00071CD7" w:rsidRPr="002B3941" w:rsidRDefault="00071CD7" w:rsidP="00071CD7">
            <w:pPr>
              <w:jc w:val="both"/>
              <w:rPr>
                <w:rStyle w:val="Hipervnculo"/>
                <w:rFonts w:ascii="Arial" w:hAnsi="Arial" w:cs="Arial"/>
                <w:sz w:val="20"/>
                <w:szCs w:val="20"/>
              </w:rPr>
            </w:pPr>
          </w:p>
        </w:tc>
        <w:tc>
          <w:tcPr>
            <w:tcW w:w="1559" w:type="dxa"/>
            <w:tcBorders>
              <w:top w:val="single" w:sz="6" w:space="0" w:color="auto"/>
              <w:left w:val="single" w:sz="6" w:space="0" w:color="auto"/>
              <w:right w:val="single" w:sz="6" w:space="0" w:color="auto"/>
            </w:tcBorders>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Perceptible</w:t>
            </w:r>
          </w:p>
        </w:tc>
        <w:tc>
          <w:tcPr>
            <w:tcW w:w="85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99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167</w:t>
            </w:r>
          </w:p>
        </w:tc>
        <w:tc>
          <w:tcPr>
            <w:tcW w:w="102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3</w:t>
            </w:r>
          </w:p>
        </w:tc>
        <w:tc>
          <w:tcPr>
            <w:tcW w:w="82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1134"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236</w:t>
            </w:r>
          </w:p>
        </w:tc>
        <w:tc>
          <w:tcPr>
            <w:tcW w:w="1275" w:type="dxa"/>
            <w:tcBorders>
              <w:top w:val="single" w:sz="6" w:space="0" w:color="auto"/>
              <w:lef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4</w:t>
            </w:r>
          </w:p>
        </w:tc>
      </w:tr>
      <w:tr w:rsidR="00071CD7" w:rsidRPr="002B3941" w:rsidTr="00A96F52">
        <w:tc>
          <w:tcPr>
            <w:tcW w:w="2552" w:type="dxa"/>
            <w:vMerge/>
            <w:tcBorders>
              <w:right w:val="single" w:sz="6" w:space="0" w:color="auto"/>
            </w:tcBorders>
          </w:tcPr>
          <w:p w:rsidR="00071CD7" w:rsidRPr="002B3941" w:rsidRDefault="00071CD7" w:rsidP="00071CD7">
            <w:pPr>
              <w:jc w:val="both"/>
              <w:rPr>
                <w:rStyle w:val="Hipervnculo"/>
                <w:rFonts w:ascii="Arial" w:hAnsi="Arial" w:cs="Arial"/>
                <w:sz w:val="20"/>
                <w:szCs w:val="20"/>
              </w:rPr>
            </w:pPr>
          </w:p>
        </w:tc>
        <w:tc>
          <w:tcPr>
            <w:tcW w:w="1559" w:type="dxa"/>
            <w:tcBorders>
              <w:top w:val="single" w:sz="6" w:space="0" w:color="auto"/>
              <w:left w:val="single" w:sz="6" w:space="0" w:color="auto"/>
              <w:right w:val="single" w:sz="6" w:space="0" w:color="auto"/>
            </w:tcBorders>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Operable</w:t>
            </w:r>
          </w:p>
        </w:tc>
        <w:tc>
          <w:tcPr>
            <w:tcW w:w="85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99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93</w:t>
            </w:r>
          </w:p>
        </w:tc>
        <w:tc>
          <w:tcPr>
            <w:tcW w:w="102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6</w:t>
            </w:r>
          </w:p>
        </w:tc>
        <w:tc>
          <w:tcPr>
            <w:tcW w:w="82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1134"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104</w:t>
            </w:r>
          </w:p>
        </w:tc>
        <w:tc>
          <w:tcPr>
            <w:tcW w:w="1275" w:type="dxa"/>
            <w:tcBorders>
              <w:top w:val="single" w:sz="6" w:space="0" w:color="auto"/>
              <w:lef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8</w:t>
            </w:r>
          </w:p>
        </w:tc>
      </w:tr>
      <w:tr w:rsidR="00071CD7" w:rsidRPr="002B3941" w:rsidTr="00A96F52">
        <w:tc>
          <w:tcPr>
            <w:tcW w:w="2552" w:type="dxa"/>
            <w:vMerge/>
            <w:tcBorders>
              <w:right w:val="single" w:sz="6" w:space="0" w:color="auto"/>
            </w:tcBorders>
          </w:tcPr>
          <w:p w:rsidR="00071CD7" w:rsidRPr="002B3941" w:rsidRDefault="00071CD7" w:rsidP="00071CD7">
            <w:pPr>
              <w:jc w:val="both"/>
              <w:rPr>
                <w:rStyle w:val="Hipervnculo"/>
                <w:rFonts w:ascii="Arial" w:hAnsi="Arial" w:cs="Arial"/>
                <w:sz w:val="20"/>
                <w:szCs w:val="20"/>
              </w:rPr>
            </w:pPr>
          </w:p>
        </w:tc>
        <w:tc>
          <w:tcPr>
            <w:tcW w:w="1559" w:type="dxa"/>
            <w:tcBorders>
              <w:top w:val="single" w:sz="6" w:space="0" w:color="auto"/>
              <w:left w:val="single" w:sz="6" w:space="0" w:color="auto"/>
              <w:right w:val="single" w:sz="6" w:space="0" w:color="auto"/>
            </w:tcBorders>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Comprensible</w:t>
            </w:r>
          </w:p>
        </w:tc>
        <w:tc>
          <w:tcPr>
            <w:tcW w:w="85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99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2</w:t>
            </w:r>
          </w:p>
        </w:tc>
        <w:tc>
          <w:tcPr>
            <w:tcW w:w="102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2</w:t>
            </w:r>
          </w:p>
        </w:tc>
        <w:tc>
          <w:tcPr>
            <w:tcW w:w="82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1134"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6</w:t>
            </w:r>
          </w:p>
        </w:tc>
        <w:tc>
          <w:tcPr>
            <w:tcW w:w="1275" w:type="dxa"/>
            <w:tcBorders>
              <w:top w:val="single" w:sz="6" w:space="0" w:color="auto"/>
              <w:lef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5</w:t>
            </w:r>
          </w:p>
        </w:tc>
      </w:tr>
      <w:tr w:rsidR="00071CD7" w:rsidRPr="002B3941" w:rsidTr="00A96F52">
        <w:tc>
          <w:tcPr>
            <w:tcW w:w="2552" w:type="dxa"/>
            <w:vMerge/>
            <w:tcBorders>
              <w:right w:val="single" w:sz="6" w:space="0" w:color="auto"/>
            </w:tcBorders>
          </w:tcPr>
          <w:p w:rsidR="00071CD7" w:rsidRPr="002B3941" w:rsidRDefault="00071CD7" w:rsidP="00071CD7">
            <w:pPr>
              <w:jc w:val="both"/>
              <w:rPr>
                <w:rStyle w:val="Hipervnculo"/>
                <w:rFonts w:ascii="Arial" w:hAnsi="Arial" w:cs="Arial"/>
                <w:sz w:val="20"/>
                <w:szCs w:val="20"/>
              </w:rPr>
            </w:pPr>
          </w:p>
        </w:tc>
        <w:tc>
          <w:tcPr>
            <w:tcW w:w="1559" w:type="dxa"/>
            <w:tcBorders>
              <w:top w:val="single" w:sz="6" w:space="0" w:color="auto"/>
              <w:left w:val="single" w:sz="6" w:space="0" w:color="auto"/>
              <w:right w:val="single" w:sz="6" w:space="0" w:color="auto"/>
            </w:tcBorders>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Robusto</w:t>
            </w:r>
          </w:p>
        </w:tc>
        <w:tc>
          <w:tcPr>
            <w:tcW w:w="85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2</w:t>
            </w:r>
          </w:p>
        </w:tc>
        <w:tc>
          <w:tcPr>
            <w:tcW w:w="99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1022"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821"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2</w:t>
            </w:r>
          </w:p>
        </w:tc>
        <w:tc>
          <w:tcPr>
            <w:tcW w:w="1134" w:type="dxa"/>
            <w:tcBorders>
              <w:top w:val="single" w:sz="6" w:space="0" w:color="auto"/>
              <w:left w:val="single" w:sz="6" w:space="0" w:color="auto"/>
              <w:righ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c>
          <w:tcPr>
            <w:tcW w:w="1275" w:type="dxa"/>
            <w:tcBorders>
              <w:top w:val="single" w:sz="6" w:space="0" w:color="auto"/>
              <w:left w:val="single" w:sz="6" w:space="0" w:color="auto"/>
            </w:tcBorders>
            <w:shd w:val="clear" w:color="auto" w:fill="auto"/>
          </w:tcPr>
          <w:p w:rsidR="00071CD7" w:rsidRDefault="00071CD7" w:rsidP="00071CD7">
            <w:pPr>
              <w:jc w:val="both"/>
              <w:rPr>
                <w:rFonts w:ascii="Arial" w:hAnsi="Arial" w:cs="Arial"/>
                <w:sz w:val="20"/>
                <w:szCs w:val="20"/>
              </w:rPr>
            </w:pPr>
            <w:r>
              <w:rPr>
                <w:rFonts w:ascii="Arial" w:hAnsi="Arial" w:cs="Arial"/>
                <w:sz w:val="20"/>
                <w:szCs w:val="20"/>
              </w:rPr>
              <w:t>0</w:t>
            </w:r>
          </w:p>
        </w:tc>
      </w:tr>
      <w:tr w:rsidR="00071CD7" w:rsidRPr="002B3941" w:rsidTr="00C04A22">
        <w:tc>
          <w:tcPr>
            <w:tcW w:w="2552" w:type="dxa"/>
            <w:vMerge w:val="restart"/>
          </w:tcPr>
          <w:p w:rsidR="00071CD7" w:rsidRPr="002B3941" w:rsidRDefault="00F135AD" w:rsidP="00071CD7">
            <w:pPr>
              <w:jc w:val="both"/>
              <w:rPr>
                <w:rStyle w:val="Hipervnculo"/>
                <w:rFonts w:ascii="Arial" w:hAnsi="Arial" w:cs="Arial"/>
                <w:sz w:val="20"/>
                <w:szCs w:val="20"/>
              </w:rPr>
            </w:pPr>
            <w:hyperlink r:id="rId17" w:history="1">
              <w:r w:rsidR="00071CD7" w:rsidRPr="00BD20F7">
                <w:rPr>
                  <w:rStyle w:val="Hipervnculo"/>
                </w:rPr>
                <w:t>http://www.jcyl.es/</w:t>
              </w:r>
            </w:hyperlink>
          </w:p>
        </w:tc>
        <w:tc>
          <w:tcPr>
            <w:tcW w:w="1559" w:type="dxa"/>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Perceptible</w:t>
            </w:r>
          </w:p>
        </w:tc>
        <w:tc>
          <w:tcPr>
            <w:tcW w:w="85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w:t>
            </w:r>
          </w:p>
        </w:tc>
        <w:tc>
          <w:tcPr>
            <w:tcW w:w="99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56</w:t>
            </w:r>
          </w:p>
        </w:tc>
        <w:tc>
          <w:tcPr>
            <w:tcW w:w="102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3</w:t>
            </w:r>
          </w:p>
        </w:tc>
        <w:tc>
          <w:tcPr>
            <w:tcW w:w="82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w:t>
            </w:r>
          </w:p>
        </w:tc>
        <w:tc>
          <w:tcPr>
            <w:tcW w:w="1134"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69</w:t>
            </w:r>
          </w:p>
        </w:tc>
        <w:tc>
          <w:tcPr>
            <w:tcW w:w="1275"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4</w:t>
            </w:r>
          </w:p>
        </w:tc>
      </w:tr>
      <w:tr w:rsidR="00071CD7" w:rsidRPr="002B3941" w:rsidTr="00C04A22">
        <w:tc>
          <w:tcPr>
            <w:tcW w:w="2552" w:type="dxa"/>
            <w:vMerge/>
          </w:tcPr>
          <w:p w:rsidR="00071CD7" w:rsidRPr="002B3941" w:rsidRDefault="00071CD7" w:rsidP="00071CD7">
            <w:pPr>
              <w:jc w:val="both"/>
              <w:rPr>
                <w:rStyle w:val="Hipervnculo"/>
                <w:rFonts w:ascii="Arial" w:hAnsi="Arial" w:cs="Arial"/>
                <w:sz w:val="20"/>
                <w:szCs w:val="20"/>
              </w:rPr>
            </w:pPr>
          </w:p>
        </w:tc>
        <w:tc>
          <w:tcPr>
            <w:tcW w:w="1559" w:type="dxa"/>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Operable</w:t>
            </w:r>
          </w:p>
        </w:tc>
        <w:tc>
          <w:tcPr>
            <w:tcW w:w="85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0</w:t>
            </w:r>
          </w:p>
        </w:tc>
        <w:tc>
          <w:tcPr>
            <w:tcW w:w="99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19</w:t>
            </w:r>
          </w:p>
        </w:tc>
        <w:tc>
          <w:tcPr>
            <w:tcW w:w="102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5</w:t>
            </w:r>
          </w:p>
        </w:tc>
        <w:tc>
          <w:tcPr>
            <w:tcW w:w="82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0</w:t>
            </w:r>
          </w:p>
        </w:tc>
        <w:tc>
          <w:tcPr>
            <w:tcW w:w="1134"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32</w:t>
            </w:r>
          </w:p>
        </w:tc>
        <w:tc>
          <w:tcPr>
            <w:tcW w:w="1275"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7</w:t>
            </w:r>
          </w:p>
        </w:tc>
      </w:tr>
      <w:tr w:rsidR="00071CD7" w:rsidRPr="002B3941" w:rsidTr="00C04A22">
        <w:tc>
          <w:tcPr>
            <w:tcW w:w="2552" w:type="dxa"/>
            <w:vMerge/>
          </w:tcPr>
          <w:p w:rsidR="00071CD7" w:rsidRPr="002B3941" w:rsidRDefault="00071CD7" w:rsidP="00071CD7">
            <w:pPr>
              <w:jc w:val="both"/>
              <w:rPr>
                <w:rStyle w:val="Hipervnculo"/>
                <w:rFonts w:ascii="Arial" w:hAnsi="Arial" w:cs="Arial"/>
                <w:sz w:val="20"/>
                <w:szCs w:val="20"/>
              </w:rPr>
            </w:pPr>
          </w:p>
        </w:tc>
        <w:tc>
          <w:tcPr>
            <w:tcW w:w="1559" w:type="dxa"/>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Comprensible</w:t>
            </w:r>
          </w:p>
        </w:tc>
        <w:tc>
          <w:tcPr>
            <w:tcW w:w="85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0</w:t>
            </w:r>
          </w:p>
        </w:tc>
        <w:tc>
          <w:tcPr>
            <w:tcW w:w="99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2</w:t>
            </w:r>
          </w:p>
        </w:tc>
        <w:tc>
          <w:tcPr>
            <w:tcW w:w="102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2</w:t>
            </w:r>
          </w:p>
        </w:tc>
        <w:tc>
          <w:tcPr>
            <w:tcW w:w="82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0</w:t>
            </w:r>
          </w:p>
        </w:tc>
        <w:tc>
          <w:tcPr>
            <w:tcW w:w="1134"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6</w:t>
            </w:r>
          </w:p>
        </w:tc>
        <w:tc>
          <w:tcPr>
            <w:tcW w:w="1275"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5</w:t>
            </w:r>
          </w:p>
        </w:tc>
      </w:tr>
      <w:tr w:rsidR="00071CD7" w:rsidRPr="002B3941" w:rsidTr="00C04A22">
        <w:tc>
          <w:tcPr>
            <w:tcW w:w="2552" w:type="dxa"/>
            <w:vMerge/>
          </w:tcPr>
          <w:p w:rsidR="00071CD7" w:rsidRPr="002B3941" w:rsidRDefault="00071CD7" w:rsidP="00071CD7">
            <w:pPr>
              <w:jc w:val="both"/>
              <w:rPr>
                <w:rStyle w:val="Hipervnculo"/>
                <w:rFonts w:ascii="Arial" w:hAnsi="Arial" w:cs="Arial"/>
                <w:sz w:val="20"/>
                <w:szCs w:val="20"/>
              </w:rPr>
            </w:pPr>
          </w:p>
        </w:tc>
        <w:tc>
          <w:tcPr>
            <w:tcW w:w="1559" w:type="dxa"/>
            <w:shd w:val="clear" w:color="auto" w:fill="auto"/>
          </w:tcPr>
          <w:p w:rsidR="00071CD7" w:rsidRPr="002B3941" w:rsidRDefault="00071CD7" w:rsidP="00071CD7">
            <w:pPr>
              <w:jc w:val="both"/>
              <w:rPr>
                <w:rFonts w:ascii="Arial" w:hAnsi="Arial" w:cs="Arial"/>
                <w:sz w:val="20"/>
                <w:szCs w:val="20"/>
              </w:rPr>
            </w:pPr>
            <w:r w:rsidRPr="002B3941">
              <w:rPr>
                <w:rFonts w:ascii="Arial" w:hAnsi="Arial" w:cs="Arial"/>
                <w:sz w:val="20"/>
                <w:szCs w:val="20"/>
              </w:rPr>
              <w:t>Robusto</w:t>
            </w:r>
          </w:p>
        </w:tc>
        <w:tc>
          <w:tcPr>
            <w:tcW w:w="85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3</w:t>
            </w:r>
          </w:p>
        </w:tc>
        <w:tc>
          <w:tcPr>
            <w:tcW w:w="99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13</w:t>
            </w:r>
          </w:p>
        </w:tc>
        <w:tc>
          <w:tcPr>
            <w:tcW w:w="1022"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w:t>
            </w:r>
          </w:p>
        </w:tc>
        <w:tc>
          <w:tcPr>
            <w:tcW w:w="821"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3</w:t>
            </w:r>
          </w:p>
        </w:tc>
        <w:tc>
          <w:tcPr>
            <w:tcW w:w="1134"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13</w:t>
            </w:r>
          </w:p>
        </w:tc>
        <w:tc>
          <w:tcPr>
            <w:tcW w:w="1275" w:type="dxa"/>
            <w:shd w:val="clear" w:color="auto" w:fill="auto"/>
          </w:tcPr>
          <w:p w:rsidR="00071CD7" w:rsidRPr="002B3941" w:rsidRDefault="00071CD7" w:rsidP="00071CD7">
            <w:pPr>
              <w:jc w:val="both"/>
              <w:rPr>
                <w:rFonts w:ascii="Arial" w:hAnsi="Arial" w:cs="Arial"/>
                <w:sz w:val="20"/>
                <w:szCs w:val="20"/>
              </w:rPr>
            </w:pPr>
            <w:r>
              <w:rPr>
                <w:rFonts w:ascii="Arial" w:hAnsi="Arial" w:cs="Arial"/>
                <w:sz w:val="20"/>
                <w:szCs w:val="20"/>
              </w:rPr>
              <w:t>1</w:t>
            </w:r>
          </w:p>
        </w:tc>
      </w:tr>
    </w:tbl>
    <w:p w:rsidR="00AD7F32" w:rsidRDefault="00AD7F32" w:rsidP="0048610E">
      <w:pPr>
        <w:jc w:val="both"/>
        <w:rPr>
          <w:b/>
          <w:noProof/>
          <w:lang w:eastAsia="es-CL"/>
        </w:rPr>
      </w:pPr>
    </w:p>
    <w:p w:rsidR="00DF4E40" w:rsidRPr="004A7A31" w:rsidRDefault="00DF4E40" w:rsidP="0048610E">
      <w:pPr>
        <w:jc w:val="both"/>
        <w:rPr>
          <w:noProof/>
          <w:lang w:eastAsia="es-CL"/>
        </w:rPr>
      </w:pPr>
      <w:r w:rsidRPr="004A7A31">
        <w:rPr>
          <w:noProof/>
          <w:lang w:eastAsia="es-CL"/>
        </w:rPr>
        <w:t xml:space="preserve">Tabla </w:t>
      </w:r>
      <w:r w:rsidR="006538AF">
        <w:rPr>
          <w:noProof/>
          <w:lang w:eastAsia="es-CL"/>
        </w:rPr>
        <w:t>6</w:t>
      </w:r>
      <w:r w:rsidRPr="004A7A31">
        <w:rPr>
          <w:noProof/>
          <w:lang w:eastAsia="es-CL"/>
        </w:rPr>
        <w:t>.- Problemas mas frecuentes.</w:t>
      </w:r>
    </w:p>
    <w:tbl>
      <w:tblPr>
        <w:tblStyle w:val="Tablaconcuadrcula"/>
        <w:tblW w:w="0" w:type="auto"/>
        <w:tblLayout w:type="fixed"/>
        <w:tblLook w:val="04A0"/>
      </w:tblPr>
      <w:tblGrid>
        <w:gridCol w:w="2830"/>
        <w:gridCol w:w="2694"/>
        <w:gridCol w:w="3304"/>
      </w:tblGrid>
      <w:tr w:rsidR="00DF4E40" w:rsidTr="00DF4E40">
        <w:tc>
          <w:tcPr>
            <w:tcW w:w="2830" w:type="dxa"/>
          </w:tcPr>
          <w:p w:rsidR="00DF4E40" w:rsidRDefault="00DF4E40" w:rsidP="0048610E">
            <w:pPr>
              <w:jc w:val="both"/>
              <w:rPr>
                <w:b/>
                <w:noProof/>
                <w:lang w:eastAsia="es-CL"/>
              </w:rPr>
            </w:pPr>
            <w:r>
              <w:rPr>
                <w:b/>
                <w:noProof/>
                <w:lang w:eastAsia="es-CL"/>
              </w:rPr>
              <w:t>Sitio</w:t>
            </w:r>
          </w:p>
        </w:tc>
        <w:tc>
          <w:tcPr>
            <w:tcW w:w="2694" w:type="dxa"/>
          </w:tcPr>
          <w:p w:rsidR="00DF4E40" w:rsidRDefault="00DF4E40" w:rsidP="0048610E">
            <w:pPr>
              <w:jc w:val="both"/>
              <w:rPr>
                <w:b/>
                <w:noProof/>
                <w:lang w:eastAsia="es-CL"/>
              </w:rPr>
            </w:pPr>
            <w:r>
              <w:rPr>
                <w:b/>
                <w:noProof/>
                <w:lang w:eastAsia="es-CL"/>
              </w:rPr>
              <w:t>Nivel A</w:t>
            </w:r>
          </w:p>
        </w:tc>
        <w:tc>
          <w:tcPr>
            <w:tcW w:w="3304" w:type="dxa"/>
          </w:tcPr>
          <w:p w:rsidR="00DF4E40" w:rsidRDefault="00DF4E40" w:rsidP="0048610E">
            <w:pPr>
              <w:jc w:val="both"/>
              <w:rPr>
                <w:b/>
                <w:noProof/>
                <w:lang w:eastAsia="es-CL"/>
              </w:rPr>
            </w:pPr>
            <w:r>
              <w:rPr>
                <w:b/>
                <w:noProof/>
                <w:lang w:eastAsia="es-CL"/>
              </w:rPr>
              <w:t>Nivel AA</w:t>
            </w:r>
          </w:p>
        </w:tc>
      </w:tr>
      <w:tr w:rsidR="00DF4E40" w:rsidTr="00DF4E40">
        <w:tc>
          <w:tcPr>
            <w:tcW w:w="2830" w:type="dxa"/>
          </w:tcPr>
          <w:p w:rsidR="00DF4E40" w:rsidRDefault="00F135AD" w:rsidP="0048610E">
            <w:pPr>
              <w:jc w:val="both"/>
              <w:rPr>
                <w:b/>
                <w:noProof/>
                <w:lang w:eastAsia="es-CL"/>
              </w:rPr>
            </w:pPr>
            <w:hyperlink r:id="rId18" w:history="1">
              <w:r w:rsidR="00DF4E40" w:rsidRPr="00860287">
                <w:rPr>
                  <w:rStyle w:val="Hipervnculo"/>
                </w:rPr>
                <w:t>https://www.mecd.gob.es/portada-mecd/</w:t>
              </w:r>
            </w:hyperlink>
          </w:p>
        </w:tc>
        <w:tc>
          <w:tcPr>
            <w:tcW w:w="2694" w:type="dxa"/>
          </w:tcPr>
          <w:p w:rsidR="00DF4E40" w:rsidRDefault="00DF4E40" w:rsidP="00DF4E40">
            <w:pPr>
              <w:jc w:val="both"/>
              <w:rPr>
                <w:noProof/>
                <w:lang w:eastAsia="es-CL"/>
              </w:rPr>
            </w:pPr>
            <w:r>
              <w:rPr>
                <w:noProof/>
                <w:lang w:eastAsia="es-CL"/>
              </w:rPr>
              <w:t>Operable</w:t>
            </w:r>
          </w:p>
          <w:p w:rsidR="00DF4E40" w:rsidRPr="000C4227" w:rsidRDefault="00DF4E40" w:rsidP="00DF4E40">
            <w:pPr>
              <w:jc w:val="both"/>
              <w:rPr>
                <w:noProof/>
                <w:lang w:eastAsia="es-CL"/>
              </w:rPr>
            </w:pPr>
            <w:r w:rsidRPr="000C4227">
              <w:rPr>
                <w:noProof/>
                <w:lang w:eastAsia="es-CL"/>
              </w:rPr>
              <w:t>2.4.3-Orden del foco</w:t>
            </w:r>
          </w:p>
          <w:p w:rsidR="00DF4E40" w:rsidRDefault="00DF4E40" w:rsidP="00DF4E40">
            <w:pPr>
              <w:jc w:val="both"/>
              <w:rPr>
                <w:noProof/>
                <w:lang w:eastAsia="es-CL"/>
              </w:rPr>
            </w:pPr>
            <w:r w:rsidRPr="000C4227">
              <w:rPr>
                <w:noProof/>
                <w:lang w:eastAsia="es-CL"/>
              </w:rPr>
              <w:t>Posicionamiento de elementos mediante flotado </w:t>
            </w:r>
          </w:p>
          <w:p w:rsidR="00DF4E40" w:rsidRPr="000C4227" w:rsidRDefault="00DF4E40" w:rsidP="00DF4E40">
            <w:pPr>
              <w:jc w:val="both"/>
              <w:rPr>
                <w:noProof/>
                <w:lang w:eastAsia="es-CL"/>
              </w:rPr>
            </w:pPr>
            <w:r w:rsidRPr="000C4227">
              <w:rPr>
                <w:noProof/>
                <w:lang w:eastAsia="es-CL"/>
              </w:rPr>
              <w:t>Enlaces con mismo texto y destinos diferente</w:t>
            </w:r>
          </w:p>
          <w:p w:rsidR="00DF4E40" w:rsidRDefault="00DF4E40" w:rsidP="0048610E">
            <w:pPr>
              <w:jc w:val="both"/>
              <w:rPr>
                <w:b/>
                <w:noProof/>
                <w:lang w:eastAsia="es-CL"/>
              </w:rPr>
            </w:pPr>
          </w:p>
        </w:tc>
        <w:tc>
          <w:tcPr>
            <w:tcW w:w="3304" w:type="dxa"/>
          </w:tcPr>
          <w:p w:rsidR="00DF4E40" w:rsidRPr="006E2106" w:rsidRDefault="00DF4E40" w:rsidP="00DF4E40">
            <w:pPr>
              <w:jc w:val="both"/>
              <w:rPr>
                <w:noProof/>
                <w:lang w:eastAsia="es-CL"/>
              </w:rPr>
            </w:pPr>
            <w:r w:rsidRPr="006E2106">
              <w:rPr>
                <w:noProof/>
                <w:lang w:eastAsia="es-CL"/>
              </w:rPr>
              <w:t xml:space="preserve">Perceptible: </w:t>
            </w:r>
          </w:p>
          <w:p w:rsidR="00DF4E40" w:rsidRDefault="00DF4E40" w:rsidP="00DF4E40">
            <w:pPr>
              <w:jc w:val="both"/>
              <w:rPr>
                <w:noProof/>
                <w:lang w:eastAsia="es-CL"/>
              </w:rPr>
            </w:pPr>
            <w:r w:rsidRPr="006E2106">
              <w:rPr>
                <w:noProof/>
                <w:lang w:eastAsia="es-CL"/>
              </w:rPr>
              <w:t>1.1.1-Contenido no textual</w:t>
            </w:r>
          </w:p>
          <w:p w:rsidR="00DF4E40" w:rsidRDefault="00DF4E40" w:rsidP="00DF4E40">
            <w:pPr>
              <w:jc w:val="both"/>
              <w:rPr>
                <w:noProof/>
                <w:lang w:eastAsia="es-CL"/>
              </w:rPr>
            </w:pPr>
            <w:r w:rsidRPr="006E2106">
              <w:rPr>
                <w:noProof/>
                <w:lang w:eastAsia="es-CL"/>
              </w:rPr>
              <w:t>Existe una gran cantidad de Imágenes que pueden requerir descripción larga</w:t>
            </w:r>
          </w:p>
          <w:p w:rsidR="00DF4E40" w:rsidRPr="006E2106" w:rsidRDefault="00DF4E40" w:rsidP="00DF4E40">
            <w:pPr>
              <w:jc w:val="both"/>
              <w:rPr>
                <w:noProof/>
                <w:lang w:eastAsia="es-CL"/>
              </w:rPr>
            </w:pPr>
            <w:r w:rsidRPr="006E2106">
              <w:rPr>
                <w:noProof/>
                <w:lang w:eastAsia="es-CL"/>
              </w:rPr>
              <w:t>1.4.4-Redimensionamiento del texto</w:t>
            </w:r>
          </w:p>
          <w:p w:rsidR="00DF4E40" w:rsidRDefault="00DF4E40" w:rsidP="00DF4E40">
            <w:pPr>
              <w:jc w:val="both"/>
              <w:rPr>
                <w:b/>
                <w:noProof/>
                <w:lang w:eastAsia="es-CL"/>
              </w:rPr>
            </w:pPr>
            <w:r w:rsidRPr="006E2106">
              <w:rPr>
                <w:noProof/>
                <w:lang w:eastAsia="es-CL"/>
              </w:rPr>
              <w:t>Utilización de medidas absolutas en elementos de bloque</w:t>
            </w:r>
          </w:p>
        </w:tc>
      </w:tr>
      <w:tr w:rsidR="00DF4E40" w:rsidTr="00DF4E40">
        <w:tc>
          <w:tcPr>
            <w:tcW w:w="2830" w:type="dxa"/>
          </w:tcPr>
          <w:p w:rsidR="00DF4E40" w:rsidRDefault="00F135AD" w:rsidP="0048610E">
            <w:pPr>
              <w:jc w:val="both"/>
              <w:rPr>
                <w:b/>
                <w:noProof/>
                <w:lang w:eastAsia="es-CL"/>
              </w:rPr>
            </w:pPr>
            <w:hyperlink r:id="rId19" w:history="1">
              <w:r w:rsidR="00DF4E40" w:rsidRPr="00665C00">
                <w:rPr>
                  <w:rStyle w:val="Hipervnculo"/>
                  <w:rFonts w:ascii="inherit" w:eastAsia="Times New Roman" w:hAnsi="inherit" w:cs="Arial"/>
                  <w:sz w:val="23"/>
                  <w:szCs w:val="23"/>
                  <w:lang w:eastAsia="es-CL"/>
                </w:rPr>
                <w:t>https://www.mecd.gob.es/educacion-mecd/</w:t>
              </w:r>
            </w:hyperlink>
          </w:p>
        </w:tc>
        <w:tc>
          <w:tcPr>
            <w:tcW w:w="2694" w:type="dxa"/>
          </w:tcPr>
          <w:p w:rsidR="00DF4E40" w:rsidRPr="00DF4E40" w:rsidRDefault="00DF4E40" w:rsidP="00DF4E40">
            <w:pPr>
              <w:jc w:val="both"/>
              <w:rPr>
                <w:noProof/>
                <w:lang w:eastAsia="es-CL"/>
              </w:rPr>
            </w:pPr>
            <w:r w:rsidRPr="00DF4E40">
              <w:rPr>
                <w:noProof/>
                <w:lang w:eastAsia="es-CL"/>
              </w:rPr>
              <w:t>Operable</w:t>
            </w:r>
          </w:p>
          <w:p w:rsidR="00DF4E40" w:rsidRPr="00DF4E40" w:rsidRDefault="00DF4E40" w:rsidP="00DF4E40">
            <w:pPr>
              <w:jc w:val="both"/>
              <w:rPr>
                <w:noProof/>
                <w:lang w:eastAsia="es-CL"/>
              </w:rPr>
            </w:pPr>
            <w:r w:rsidRPr="00DF4E40">
              <w:rPr>
                <w:noProof/>
                <w:lang w:eastAsia="es-CL"/>
              </w:rPr>
              <w:t>2.4.3-Orden del foco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48610E">
            <w:pPr>
              <w:jc w:val="both"/>
              <w:rPr>
                <w:noProof/>
                <w:lang w:eastAsia="es-CL"/>
              </w:rPr>
            </w:pPr>
          </w:p>
        </w:tc>
        <w:tc>
          <w:tcPr>
            <w:tcW w:w="3304" w:type="dxa"/>
          </w:tcPr>
          <w:p w:rsidR="00DF4E40" w:rsidRPr="00DF4E40" w:rsidRDefault="00DF4E40" w:rsidP="00DF4E40">
            <w:pPr>
              <w:jc w:val="both"/>
              <w:rPr>
                <w:noProof/>
                <w:lang w:eastAsia="es-CL"/>
              </w:rPr>
            </w:pPr>
            <w:r w:rsidRPr="00DF4E40">
              <w:rPr>
                <w:noProof/>
                <w:lang w:eastAsia="es-CL"/>
              </w:rPr>
              <w:t>Perceptible:</w:t>
            </w:r>
            <w:r w:rsidRPr="00DF4E40">
              <w:rPr>
                <w:noProof/>
                <w:lang w:eastAsia="es-CL"/>
              </w:rPr>
              <w:br/>
              <w:t>1.1.1-Contenido no textual</w:t>
            </w:r>
          </w:p>
          <w:p w:rsidR="00DF4E40" w:rsidRPr="00DF4E40" w:rsidRDefault="00DF4E40" w:rsidP="00DF4E40">
            <w:pPr>
              <w:jc w:val="both"/>
              <w:rPr>
                <w:noProof/>
                <w:lang w:eastAsia="es-CL"/>
              </w:rPr>
            </w:pPr>
            <w:r w:rsidRPr="00DF4E40">
              <w:rPr>
                <w:noProof/>
                <w:lang w:eastAsia="es-CL"/>
              </w:rPr>
              <w:t>Imágenes que pueden requerir descripción larga</w:t>
            </w:r>
          </w:p>
          <w:p w:rsidR="00DF4E40" w:rsidRPr="00DF4E40" w:rsidRDefault="00DF4E40" w:rsidP="00DF4E40">
            <w:pPr>
              <w:jc w:val="both"/>
              <w:rPr>
                <w:noProof/>
                <w:lang w:eastAsia="es-CL"/>
              </w:rPr>
            </w:pPr>
            <w:r w:rsidRPr="00DF4E40">
              <w:rPr>
                <w:noProof/>
                <w:lang w:eastAsia="es-CL"/>
              </w:rPr>
              <w:t>1.3.2-Secuencia con significado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DF4E40">
            <w:pPr>
              <w:jc w:val="both"/>
              <w:rPr>
                <w:noProof/>
                <w:lang w:eastAsia="es-CL"/>
              </w:rPr>
            </w:pPr>
            <w:r w:rsidRPr="00DF4E40">
              <w:rPr>
                <w:noProof/>
                <w:lang w:eastAsia="es-CL"/>
              </w:rPr>
              <w:lastRenderedPageBreak/>
              <w:t>1.4.4-Redimensionamiento del texto</w:t>
            </w:r>
          </w:p>
          <w:p w:rsidR="00DF4E40" w:rsidRPr="00DF4E40" w:rsidRDefault="00DF4E40" w:rsidP="00DF4E40">
            <w:pPr>
              <w:jc w:val="both"/>
              <w:rPr>
                <w:noProof/>
                <w:lang w:eastAsia="es-CL"/>
              </w:rPr>
            </w:pPr>
            <w:r w:rsidRPr="00DF4E40">
              <w:rPr>
                <w:noProof/>
                <w:lang w:eastAsia="es-CL"/>
              </w:rPr>
              <w:t>Utilización de medidas absolutas en elementos de bloque</w:t>
            </w:r>
          </w:p>
          <w:p w:rsidR="00DF4E40" w:rsidRPr="00DF4E40" w:rsidRDefault="00DF4E40" w:rsidP="0048610E">
            <w:pPr>
              <w:jc w:val="both"/>
              <w:rPr>
                <w:noProof/>
                <w:lang w:eastAsia="es-CL"/>
              </w:rPr>
            </w:pPr>
          </w:p>
        </w:tc>
      </w:tr>
      <w:tr w:rsidR="00DF4E40" w:rsidTr="00DF4E40">
        <w:tc>
          <w:tcPr>
            <w:tcW w:w="2830" w:type="dxa"/>
          </w:tcPr>
          <w:p w:rsidR="00DF4E40" w:rsidRDefault="00F135AD" w:rsidP="0048610E">
            <w:pPr>
              <w:jc w:val="both"/>
              <w:rPr>
                <w:rFonts w:ascii="inherit" w:eastAsia="Times New Roman" w:hAnsi="inherit" w:cs="Arial"/>
                <w:sz w:val="23"/>
                <w:szCs w:val="23"/>
                <w:lang w:eastAsia="es-CL"/>
              </w:rPr>
            </w:pPr>
            <w:hyperlink r:id="rId20" w:history="1">
              <w:r w:rsidR="00DF4E40" w:rsidRPr="00BD20F7">
                <w:rPr>
                  <w:rStyle w:val="Hipervnculo"/>
                </w:rPr>
                <w:t>http://www.jcyl.es/</w:t>
              </w:r>
            </w:hyperlink>
          </w:p>
        </w:tc>
        <w:tc>
          <w:tcPr>
            <w:tcW w:w="2694" w:type="dxa"/>
          </w:tcPr>
          <w:p w:rsidR="00DF4E40" w:rsidRPr="00DF4E40" w:rsidRDefault="00DF4E40" w:rsidP="00DF4E40">
            <w:pPr>
              <w:jc w:val="both"/>
              <w:rPr>
                <w:noProof/>
                <w:lang w:eastAsia="es-CL"/>
              </w:rPr>
            </w:pPr>
            <w:r w:rsidRPr="00DF4E40">
              <w:rPr>
                <w:noProof/>
                <w:lang w:eastAsia="es-CL"/>
              </w:rPr>
              <w:t>Perceptible</w:t>
            </w:r>
          </w:p>
          <w:p w:rsidR="00DF4E40" w:rsidRPr="00DF4E40" w:rsidRDefault="00DF4E40" w:rsidP="00DF4E40">
            <w:pPr>
              <w:jc w:val="both"/>
              <w:rPr>
                <w:noProof/>
                <w:lang w:eastAsia="es-CL"/>
              </w:rPr>
            </w:pPr>
            <w:r w:rsidRPr="00DF4E40">
              <w:rPr>
                <w:noProof/>
                <w:lang w:eastAsia="es-CL"/>
              </w:rPr>
              <w:t>1.1.1-Contenido no textual</w:t>
            </w:r>
          </w:p>
          <w:p w:rsidR="00DF4E40" w:rsidRPr="00DF4E40" w:rsidRDefault="00DF4E40" w:rsidP="00DF4E40">
            <w:pPr>
              <w:jc w:val="both"/>
              <w:rPr>
                <w:noProof/>
                <w:lang w:eastAsia="es-CL"/>
              </w:rPr>
            </w:pPr>
            <w:r w:rsidRPr="00DF4E40">
              <w:rPr>
                <w:noProof/>
                <w:lang w:eastAsia="es-CL"/>
              </w:rPr>
              <w:t>Imágenes que pueden requerir descripción larga</w:t>
            </w:r>
          </w:p>
          <w:p w:rsidR="00DF4E40" w:rsidRPr="00DF4E40" w:rsidRDefault="00DF4E40" w:rsidP="00DF4E40">
            <w:pPr>
              <w:jc w:val="both"/>
              <w:rPr>
                <w:noProof/>
                <w:lang w:eastAsia="es-CL"/>
              </w:rPr>
            </w:pPr>
            <w:r w:rsidRPr="00DF4E40">
              <w:rPr>
                <w:noProof/>
                <w:lang w:eastAsia="es-CL"/>
              </w:rPr>
              <w:t>1.3.2-Secuencia con significado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DF4E40">
            <w:pPr>
              <w:jc w:val="both"/>
              <w:rPr>
                <w:noProof/>
                <w:lang w:eastAsia="es-CL"/>
              </w:rPr>
            </w:pPr>
            <w:r w:rsidRPr="00DF4E40">
              <w:rPr>
                <w:noProof/>
                <w:lang w:eastAsia="es-CL"/>
              </w:rPr>
              <w:t>Operable:</w:t>
            </w:r>
          </w:p>
          <w:p w:rsidR="00DF4E40" w:rsidRPr="00DF4E40" w:rsidRDefault="00DF4E40" w:rsidP="00DF4E40">
            <w:pPr>
              <w:jc w:val="both"/>
              <w:rPr>
                <w:noProof/>
                <w:lang w:eastAsia="es-CL"/>
              </w:rPr>
            </w:pPr>
            <w:r w:rsidRPr="00DF4E40">
              <w:rPr>
                <w:noProof/>
                <w:lang w:eastAsia="es-CL"/>
              </w:rPr>
              <w:t>2.4.3-Orden del foco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DF4E40">
            <w:pPr>
              <w:jc w:val="both"/>
              <w:rPr>
                <w:noProof/>
                <w:lang w:eastAsia="es-CL"/>
              </w:rPr>
            </w:pPr>
            <w:r w:rsidRPr="00DF4E40">
              <w:rPr>
                <w:noProof/>
                <w:lang w:eastAsia="es-CL"/>
              </w:rPr>
              <w:t>Robusto</w:t>
            </w:r>
          </w:p>
          <w:p w:rsidR="00DF4E40" w:rsidRPr="00DF4E40" w:rsidRDefault="00DF4E40" w:rsidP="00DF4E40">
            <w:pPr>
              <w:jc w:val="both"/>
              <w:rPr>
                <w:noProof/>
                <w:lang w:eastAsia="es-CL"/>
              </w:rPr>
            </w:pPr>
            <w:r w:rsidRPr="00DF4E40">
              <w:rPr>
                <w:noProof/>
                <w:lang w:eastAsia="es-CL"/>
              </w:rPr>
              <w:t>4.1.1-Procesamiento</w:t>
            </w:r>
          </w:p>
          <w:p w:rsidR="00DF4E40" w:rsidRPr="00DF4E40" w:rsidRDefault="00DF4E40" w:rsidP="00DF4E40">
            <w:pPr>
              <w:jc w:val="both"/>
              <w:rPr>
                <w:noProof/>
                <w:lang w:eastAsia="es-CL"/>
              </w:rPr>
            </w:pPr>
            <w:r w:rsidRPr="00DF4E40">
              <w:rPr>
                <w:noProof/>
                <w:lang w:eastAsia="es-CL"/>
              </w:rPr>
              <w:t>Validación de las hojas de estilo</w:t>
            </w:r>
          </w:p>
          <w:p w:rsidR="00DF4E40" w:rsidRPr="00DF4E40" w:rsidRDefault="00DF4E40" w:rsidP="00DF4E40">
            <w:pPr>
              <w:jc w:val="both"/>
              <w:rPr>
                <w:noProof/>
                <w:lang w:eastAsia="es-CL"/>
              </w:rPr>
            </w:pPr>
          </w:p>
        </w:tc>
        <w:tc>
          <w:tcPr>
            <w:tcW w:w="3304" w:type="dxa"/>
          </w:tcPr>
          <w:p w:rsidR="00DF4E40" w:rsidRPr="00DF4E40" w:rsidRDefault="00DF4E40" w:rsidP="00DF4E40">
            <w:pPr>
              <w:jc w:val="both"/>
              <w:rPr>
                <w:noProof/>
                <w:lang w:eastAsia="es-CL"/>
              </w:rPr>
            </w:pPr>
            <w:r w:rsidRPr="00DF4E40">
              <w:rPr>
                <w:noProof/>
                <w:lang w:eastAsia="es-CL"/>
              </w:rPr>
              <w:t>Perceptible</w:t>
            </w:r>
          </w:p>
          <w:p w:rsidR="00DF4E40" w:rsidRPr="00DF4E40" w:rsidRDefault="00DF4E40" w:rsidP="00DF4E40">
            <w:pPr>
              <w:jc w:val="both"/>
              <w:rPr>
                <w:noProof/>
                <w:lang w:eastAsia="es-CL"/>
              </w:rPr>
            </w:pPr>
            <w:r w:rsidRPr="00DF4E40">
              <w:rPr>
                <w:noProof/>
                <w:lang w:eastAsia="es-CL"/>
              </w:rPr>
              <w:t>1.1.1-Contenido no textual</w:t>
            </w:r>
          </w:p>
          <w:p w:rsidR="00DF4E40" w:rsidRPr="00DF4E40" w:rsidRDefault="00DF4E40" w:rsidP="00DF4E40">
            <w:pPr>
              <w:jc w:val="both"/>
              <w:rPr>
                <w:noProof/>
                <w:lang w:eastAsia="es-CL"/>
              </w:rPr>
            </w:pPr>
            <w:r w:rsidRPr="00DF4E40">
              <w:rPr>
                <w:noProof/>
                <w:lang w:eastAsia="es-CL"/>
              </w:rPr>
              <w:t>Imágenes que pueden requerir descripción larga</w:t>
            </w:r>
          </w:p>
          <w:p w:rsidR="00DF4E40" w:rsidRPr="00DF4E40" w:rsidRDefault="00DF4E40" w:rsidP="00DF4E40">
            <w:pPr>
              <w:jc w:val="both"/>
              <w:rPr>
                <w:noProof/>
                <w:lang w:eastAsia="es-CL"/>
              </w:rPr>
            </w:pPr>
            <w:r w:rsidRPr="00DF4E40">
              <w:rPr>
                <w:noProof/>
                <w:lang w:eastAsia="es-CL"/>
              </w:rPr>
              <w:t>Imágenes con alt vacio</w:t>
            </w:r>
          </w:p>
          <w:p w:rsidR="00DF4E40" w:rsidRPr="00DF4E40" w:rsidRDefault="00DF4E40" w:rsidP="00DF4E40">
            <w:pPr>
              <w:jc w:val="both"/>
              <w:rPr>
                <w:noProof/>
                <w:lang w:eastAsia="es-CL"/>
              </w:rPr>
            </w:pPr>
            <w:r w:rsidRPr="00DF4E40">
              <w:rPr>
                <w:noProof/>
                <w:lang w:eastAsia="es-CL"/>
              </w:rPr>
              <w:t>1.3.1-Información y relaciones</w:t>
            </w:r>
          </w:p>
          <w:p w:rsidR="00DF4E40" w:rsidRPr="00DF4E40" w:rsidRDefault="00DF4E40" w:rsidP="00DF4E40">
            <w:pPr>
              <w:jc w:val="both"/>
              <w:rPr>
                <w:noProof/>
                <w:lang w:eastAsia="es-CL"/>
              </w:rPr>
            </w:pPr>
            <w:r w:rsidRPr="00DF4E40">
              <w:rPr>
                <w:noProof/>
                <w:lang w:eastAsia="es-CL"/>
              </w:rPr>
              <w:t>Presencia de listas vacías</w:t>
            </w:r>
          </w:p>
          <w:p w:rsidR="00DF4E40" w:rsidRPr="00DF4E40" w:rsidRDefault="00DF4E40" w:rsidP="00DF4E40">
            <w:pPr>
              <w:jc w:val="both"/>
              <w:rPr>
                <w:noProof/>
                <w:lang w:eastAsia="es-CL"/>
              </w:rPr>
            </w:pPr>
            <w:r w:rsidRPr="00DF4E40">
              <w:rPr>
                <w:noProof/>
                <w:lang w:eastAsia="es-CL"/>
              </w:rPr>
              <w:t>1.3.2-Secuencia con significado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DF4E40">
            <w:pPr>
              <w:jc w:val="both"/>
              <w:rPr>
                <w:noProof/>
                <w:lang w:eastAsia="es-CL"/>
              </w:rPr>
            </w:pPr>
            <w:r w:rsidRPr="00DF4E40">
              <w:rPr>
                <w:noProof/>
                <w:lang w:eastAsia="es-CL"/>
              </w:rPr>
              <w:t>1.4.4-Redimensionamiento del texto</w:t>
            </w:r>
          </w:p>
          <w:p w:rsidR="00DF4E40" w:rsidRPr="00DF4E40" w:rsidRDefault="00DF4E40" w:rsidP="00DF4E40">
            <w:pPr>
              <w:jc w:val="both"/>
              <w:rPr>
                <w:noProof/>
                <w:lang w:eastAsia="es-CL"/>
              </w:rPr>
            </w:pPr>
            <w:r w:rsidRPr="00DF4E40">
              <w:rPr>
                <w:noProof/>
                <w:lang w:eastAsia="es-CL"/>
              </w:rPr>
              <w:t>Utilización de medidas absolutas en elementos de bloque</w:t>
            </w:r>
          </w:p>
          <w:p w:rsidR="00DF4E40" w:rsidRPr="00DF4E40" w:rsidRDefault="00DF4E40" w:rsidP="00DF4E40">
            <w:pPr>
              <w:jc w:val="both"/>
              <w:rPr>
                <w:noProof/>
                <w:lang w:eastAsia="es-CL"/>
              </w:rPr>
            </w:pPr>
            <w:r w:rsidRPr="00DF4E40">
              <w:rPr>
                <w:noProof/>
                <w:lang w:eastAsia="es-CL"/>
              </w:rPr>
              <w:t>Operable</w:t>
            </w:r>
          </w:p>
          <w:p w:rsidR="00DF4E40" w:rsidRPr="00DF4E40" w:rsidRDefault="00DF4E40" w:rsidP="00DF4E40">
            <w:pPr>
              <w:jc w:val="both"/>
              <w:rPr>
                <w:noProof/>
                <w:lang w:eastAsia="es-CL"/>
              </w:rPr>
            </w:pPr>
            <w:r w:rsidRPr="00DF4E40">
              <w:rPr>
                <w:noProof/>
                <w:lang w:eastAsia="es-CL"/>
              </w:rPr>
              <w:t>2.4.3-Orden del foco</w:t>
            </w:r>
          </w:p>
          <w:p w:rsidR="00DF4E40" w:rsidRPr="00DF4E40" w:rsidRDefault="00DF4E40" w:rsidP="00DF4E40">
            <w:pPr>
              <w:jc w:val="both"/>
              <w:rPr>
                <w:noProof/>
                <w:lang w:eastAsia="es-CL"/>
              </w:rPr>
            </w:pPr>
            <w:r w:rsidRPr="00DF4E40">
              <w:rPr>
                <w:noProof/>
                <w:lang w:eastAsia="es-CL"/>
              </w:rPr>
              <w:t>Posicionamiento de elementos mediante flotado</w:t>
            </w:r>
          </w:p>
          <w:p w:rsidR="00DF4E40" w:rsidRPr="00DF4E40" w:rsidRDefault="00DF4E40" w:rsidP="00DF4E40">
            <w:pPr>
              <w:jc w:val="both"/>
              <w:rPr>
                <w:noProof/>
                <w:lang w:eastAsia="es-CL"/>
              </w:rPr>
            </w:pPr>
            <w:r w:rsidRPr="00DF4E40">
              <w:rPr>
                <w:noProof/>
                <w:lang w:eastAsia="es-CL"/>
              </w:rPr>
              <w:t>2.4.6-Encabezados y etiquetas</w:t>
            </w:r>
          </w:p>
          <w:p w:rsidR="00DF4E40" w:rsidRPr="00DF4E40" w:rsidRDefault="00DF4E40" w:rsidP="00DF4E40">
            <w:pPr>
              <w:jc w:val="both"/>
              <w:rPr>
                <w:noProof/>
                <w:lang w:eastAsia="es-CL"/>
              </w:rPr>
            </w:pPr>
            <w:r w:rsidRPr="00DF4E40">
              <w:rPr>
                <w:noProof/>
                <w:lang w:eastAsia="es-CL"/>
              </w:rPr>
              <w:t>Contenido adecuado de encabezados y etiquetas</w:t>
            </w:r>
          </w:p>
          <w:p w:rsidR="00DF4E40" w:rsidRPr="00DF4E40" w:rsidRDefault="00DF4E40" w:rsidP="00DF4E40">
            <w:pPr>
              <w:jc w:val="both"/>
              <w:rPr>
                <w:noProof/>
                <w:lang w:eastAsia="es-CL"/>
              </w:rPr>
            </w:pPr>
            <w:r w:rsidRPr="00DF4E40">
              <w:rPr>
                <w:noProof/>
                <w:lang w:eastAsia="es-CL"/>
              </w:rPr>
              <w:t>Robusto</w:t>
            </w:r>
          </w:p>
          <w:p w:rsidR="00DF4E40" w:rsidRPr="00DF4E40" w:rsidRDefault="00DF4E40" w:rsidP="00DF4E40">
            <w:pPr>
              <w:jc w:val="both"/>
              <w:rPr>
                <w:noProof/>
                <w:lang w:eastAsia="es-CL"/>
              </w:rPr>
            </w:pPr>
            <w:r w:rsidRPr="00DF4E40">
              <w:rPr>
                <w:noProof/>
                <w:lang w:eastAsia="es-CL"/>
              </w:rPr>
              <w:t>4.1.1-Procesamiento</w:t>
            </w:r>
          </w:p>
          <w:p w:rsidR="00DF4E40" w:rsidRPr="00DF4E40" w:rsidRDefault="00DF4E40" w:rsidP="00DF4E40">
            <w:pPr>
              <w:jc w:val="both"/>
              <w:rPr>
                <w:noProof/>
                <w:lang w:eastAsia="es-CL"/>
              </w:rPr>
            </w:pPr>
            <w:r w:rsidRPr="00DF4E40">
              <w:rPr>
                <w:noProof/>
                <w:lang w:eastAsia="es-CL"/>
              </w:rPr>
              <w:t>Página 'bien formada' (el documento no está bien formado)</w:t>
            </w:r>
          </w:p>
        </w:tc>
      </w:tr>
    </w:tbl>
    <w:tbl>
      <w:tblPr>
        <w:tblW w:w="0" w:type="auto"/>
        <w:shd w:val="clear" w:color="auto" w:fill="FFFFFF"/>
        <w:tblCellMar>
          <w:top w:w="15" w:type="dxa"/>
          <w:left w:w="15" w:type="dxa"/>
          <w:bottom w:w="15" w:type="dxa"/>
          <w:right w:w="15" w:type="dxa"/>
        </w:tblCellMar>
        <w:tblLook w:val="04A0"/>
      </w:tblPr>
      <w:tblGrid>
        <w:gridCol w:w="6"/>
        <w:gridCol w:w="50"/>
        <w:gridCol w:w="20"/>
      </w:tblGrid>
      <w:tr w:rsidR="006E2106" w:rsidRPr="006E2106" w:rsidTr="00DF4E40">
        <w:tc>
          <w:tcPr>
            <w:tcW w:w="0" w:type="auto"/>
            <w:shd w:val="clear" w:color="auto" w:fill="FFFFFF"/>
            <w:tcMar>
              <w:top w:w="450" w:type="dxa"/>
              <w:left w:w="0" w:type="dxa"/>
              <w:bottom w:w="450" w:type="dxa"/>
              <w:right w:w="0" w:type="dxa"/>
            </w:tcMar>
            <w:vAlign w:val="center"/>
          </w:tcPr>
          <w:p w:rsidR="006E2106" w:rsidRPr="006E2106" w:rsidRDefault="006E2106" w:rsidP="006E2106">
            <w:pPr>
              <w:spacing w:after="0" w:line="240" w:lineRule="auto"/>
              <w:jc w:val="both"/>
              <w:rPr>
                <w:noProof/>
                <w:lang w:eastAsia="es-CL"/>
              </w:rPr>
            </w:pPr>
          </w:p>
        </w:tc>
        <w:tc>
          <w:tcPr>
            <w:tcW w:w="50" w:type="dxa"/>
            <w:shd w:val="clear" w:color="auto" w:fill="FFFFFF"/>
          </w:tcPr>
          <w:p w:rsidR="006E2106" w:rsidRPr="006E2106" w:rsidRDefault="006E2106" w:rsidP="006E2106">
            <w:pPr>
              <w:spacing w:after="0" w:line="240" w:lineRule="auto"/>
              <w:jc w:val="both"/>
              <w:rPr>
                <w:noProof/>
                <w:lang w:eastAsia="es-CL"/>
              </w:rPr>
            </w:pPr>
          </w:p>
        </w:tc>
        <w:tc>
          <w:tcPr>
            <w:tcW w:w="20" w:type="dxa"/>
            <w:shd w:val="clear" w:color="auto" w:fill="FFFFFF"/>
            <w:tcMar>
              <w:top w:w="450" w:type="dxa"/>
              <w:left w:w="0" w:type="dxa"/>
              <w:bottom w:w="450" w:type="dxa"/>
              <w:right w:w="0" w:type="dxa"/>
            </w:tcMar>
            <w:vAlign w:val="center"/>
          </w:tcPr>
          <w:p w:rsidR="006E2106" w:rsidRPr="006E2106" w:rsidRDefault="006E2106" w:rsidP="006E2106">
            <w:pPr>
              <w:spacing w:after="0" w:line="240" w:lineRule="auto"/>
              <w:jc w:val="both"/>
              <w:rPr>
                <w:noProof/>
                <w:lang w:eastAsia="es-CL"/>
              </w:rPr>
            </w:pPr>
          </w:p>
        </w:tc>
      </w:tr>
    </w:tbl>
    <w:p w:rsidR="00B44EDC" w:rsidRPr="00B5218F" w:rsidRDefault="00B5218F" w:rsidP="00B5218F">
      <w:pPr>
        <w:spacing w:after="0" w:line="240" w:lineRule="auto"/>
        <w:jc w:val="both"/>
        <w:rPr>
          <w:noProof/>
          <w:lang w:eastAsia="es-CL"/>
        </w:rPr>
      </w:pPr>
      <w:r>
        <w:rPr>
          <w:noProof/>
          <w:lang w:eastAsia="es-CL"/>
        </w:rPr>
        <w:t>E</w:t>
      </w:r>
      <w:r w:rsidRPr="00B5218F">
        <w:rPr>
          <w:noProof/>
          <w:lang w:eastAsia="es-CL"/>
        </w:rPr>
        <w:t xml:space="preserve">l análisis de la tabla 6 </w:t>
      </w:r>
      <w:r w:rsidR="004A7A31">
        <w:rPr>
          <w:noProof/>
          <w:lang w:eastAsia="es-CL"/>
        </w:rPr>
        <w:t>p</w:t>
      </w:r>
      <w:r w:rsidRPr="00B5218F">
        <w:rPr>
          <w:noProof/>
          <w:lang w:eastAsia="es-CL"/>
        </w:rPr>
        <w:t>roblemas más frecuentes detectados con la herramienta TAW de evaluación automática evidencia que los problemas y advertencias son reiteradas en cuanto a procesos básicos para la accesibilidad en el análisis nivel A, siendo retirados en el análisis nivel AA, quedando la web de la Comunicada Castilla y León como la web con mas problemas y/o advertencias detectadas.</w:t>
      </w:r>
    </w:p>
    <w:p w:rsidR="00DE0A9B" w:rsidRPr="00423249" w:rsidRDefault="00E01055">
      <w:pPr>
        <w:rPr>
          <w:b/>
        </w:rPr>
      </w:pPr>
      <w:r>
        <w:br w:type="page"/>
      </w:r>
      <w:r w:rsidRPr="00423249">
        <w:rPr>
          <w:b/>
        </w:rPr>
        <w:lastRenderedPageBreak/>
        <w:t>Discusión</w:t>
      </w:r>
    </w:p>
    <w:p w:rsidR="00432552" w:rsidRPr="00DE3127" w:rsidRDefault="00432552" w:rsidP="00710DBA">
      <w:pPr>
        <w:jc w:val="both"/>
      </w:pPr>
      <w:r w:rsidRPr="00432552">
        <w:t xml:space="preserve">Existe una legislación clara en cuanto a accesibilidad web en España, la cual se inició a partir del año 1998 con la Norma UNE </w:t>
      </w:r>
      <w:r w:rsidRPr="00DE3127">
        <w:t>139802:1998</w:t>
      </w:r>
      <w:r w:rsidRPr="00432552">
        <w:t xml:space="preserve">, que es una norma experimental considerada la </w:t>
      </w:r>
      <w:r w:rsidRPr="00A70344">
        <w:t>primera norma a nivel mundial que trata la accesibilidad de las páginas web de cara a las personas con discapacidad</w:t>
      </w:r>
      <w:r>
        <w:t xml:space="preserve"> hasta el </w:t>
      </w:r>
      <w:r w:rsidRPr="00432552">
        <w:t>Real Decreto Legislativo 1/2013, de 29 de novie</w:t>
      </w:r>
      <w:r w:rsidR="004A7A31">
        <w:t>mbre, por el que se aprueba el texto refundido de la ley g</w:t>
      </w:r>
      <w:r w:rsidRPr="00432552">
        <w:t>eneral de derechos de las personas con discapacidad y de su inclusión social</w:t>
      </w:r>
      <w:r w:rsidRPr="00DE3127">
        <w:t>.</w:t>
      </w:r>
      <w:r w:rsidR="00F135AD">
        <w:fldChar w:fldCharType="begin" w:fldLock="1"/>
      </w:r>
      <w:r w:rsidR="00C527E3">
        <w:instrText>ADDIN CSL_CITATION { "citationItems" : [ { "id" : "ITEM-1", "itemData" : { "DOI" : "10.1017/CBO9781107415324.004", "ISBN" : "9788434022461", "ISSN" : "1098-6596", "PMID" : "25246403", "abstract" : "Real Decreto Legislativo 1/2013, de 29 de noviembre, por el que se aprueba el Texto Refundido de la Ley General de derechos de las personas con discapacidad y de su inclusi\u00f3n social.", "author" : [ { "dropping-particle" : "", "family" : "BOE", "given" : "", "non-dropping-particle" : "", "parse-names" : false, "suffix" : "" } ], "container-title" : "Bolet\u00edn Oficial del Estado", "id" : "ITEM-1", "issue" : "12632", "issued" : { "date-parts" : [ [ "2013" ] ] }, "page" : "95635-95673", "title" : "Ministerio de Sanidad Asuntos Sociales e Igualdad. Real Decreto Legislativo 1/2013, de 29 de noviembre, por el que se aprueba el Texto Refundido de la Ley General de derechos de las personas con discapacidad y de su inclusi\u00f3n social.", "type" : "article-journal", "volume" : "289" }, "uris" : [ "http://www.mendeley.com/documents/?uuid=8a01c595-3854-4204-8268-bab7cf024942" ] } ], "mendeley" : { "formattedCitation" : "(BOE, 2013)", "plainTextFormattedCitation" : "(BOE, 2013)", "previouslyFormattedCitation" : "(BOE, 2013)" }, "properties" : {  }, "schema" : "https://github.com/citation-style-language/schema/raw/master/csl-citation.json" }</w:instrText>
      </w:r>
      <w:r w:rsidR="00F135AD">
        <w:fldChar w:fldCharType="separate"/>
      </w:r>
      <w:r w:rsidRPr="00A34084">
        <w:t>(BOE, 2013)</w:t>
      </w:r>
      <w:r w:rsidR="00F135AD">
        <w:fldChar w:fldCharType="end"/>
      </w:r>
      <w:r>
        <w:t xml:space="preserve">. </w:t>
      </w:r>
    </w:p>
    <w:p w:rsidR="00432552" w:rsidRDefault="00432552" w:rsidP="00423249">
      <w:pPr>
        <w:jc w:val="both"/>
        <w:rPr>
          <w:iCs/>
        </w:rPr>
      </w:pPr>
      <w:r>
        <w:t xml:space="preserve">La Ley que actualmente rige lo relacionado con accesibilidad web en forma precisa es la </w:t>
      </w:r>
      <w:r w:rsidRPr="00DE3127">
        <w:t>LEY 56/2007, de 28 de diciembre,</w:t>
      </w:r>
      <w:r w:rsidR="00F135AD">
        <w:fldChar w:fldCharType="begin" w:fldLock="1"/>
      </w:r>
      <w:r w:rsidR="006538AF">
        <w:instrText>ADDIN CSL_CITATION { "citationItems" : [ { "id" : "ITEM-1", "itemData" : { "author" : [ { "dropping-particle" : "", "family" : "BOE", "given" : "", "non-dropping-particle" : "", "parse-names" : false, "suffix" : "" } ], "container-title" : "Agencia Estatal, Bolet\u00edn Oficial del Estado BOE", "id" : "ITEM-1", "issued" : { "date-parts" : [ [ "2007" ] ] }, "page" : "53701-53719", "title" : "Ley 56/2007, de 28 de diciembre, de Medidas de Impulso de la Sociedad de la Informaci\u00f3n.", "type" : "article-journal", "volume" : "312" }, "uris" : [ "http://www.mendeley.com/documents/?uuid=b047f795-57e2-44b0-a722-60b866ebb6e9" ] } ], "mendeley" : { "formattedCitation" : "(BOE, 2007)", "plainTextFormattedCitation" : "(BOE, 2007)", "previouslyFormattedCitation" : "(BOE, 2007)" }, "properties" : {  }, "schema" : "https://github.com/citation-style-language/schema/raw/master/csl-citation.json" }</w:instrText>
      </w:r>
      <w:r w:rsidR="00F135AD">
        <w:fldChar w:fldCharType="separate"/>
      </w:r>
      <w:r w:rsidR="006538AF" w:rsidRPr="006538AF">
        <w:rPr>
          <w:noProof/>
        </w:rPr>
        <w:t>(BOE, 2007)</w:t>
      </w:r>
      <w:r w:rsidR="00F135AD">
        <w:fldChar w:fldCharType="end"/>
      </w:r>
      <w:r w:rsidRPr="00DE3127">
        <w:t xml:space="preserve"> de </w:t>
      </w:r>
      <w:bookmarkStart w:id="2" w:name="_GoBack"/>
      <w:bookmarkEnd w:id="2"/>
      <w:r w:rsidRPr="00DE3127">
        <w:t>Medidas de Impulso d</w:t>
      </w:r>
      <w:r>
        <w:t xml:space="preserve">e la Sociedad de la Información, que establece en forma precisa medidas para regular la </w:t>
      </w:r>
      <w:r w:rsidR="004A7A31">
        <w:t>a</w:t>
      </w:r>
      <w:r w:rsidRPr="00041526">
        <w:rPr>
          <w:i/>
          <w:iCs/>
        </w:rPr>
        <w:t>ccesibilidad para las personas con discapacidad y de edad avanzada a la información proporcionada por medios electrónicos</w:t>
      </w:r>
      <w:r w:rsidR="00877477">
        <w:rPr>
          <w:i/>
          <w:iCs/>
        </w:rPr>
        <w:t xml:space="preserve">, </w:t>
      </w:r>
      <w:r w:rsidR="00877477">
        <w:rPr>
          <w:iCs/>
        </w:rPr>
        <w:t>estableciéndose puntos específicos relevantes a considerar en el proceso de evaluación abordado en la investigación, estos son:</w:t>
      </w:r>
    </w:p>
    <w:p w:rsidR="00877477" w:rsidRDefault="00877477" w:rsidP="00423249">
      <w:pPr>
        <w:jc w:val="both"/>
        <w:rPr>
          <w:noProof/>
          <w:lang w:eastAsia="es-CL"/>
        </w:rPr>
      </w:pPr>
      <w:r>
        <w:rPr>
          <w:iCs/>
        </w:rPr>
        <w:t xml:space="preserve">Las web de administraciones públicas deben cumplir el nivel medio de los criterios de accesibilidad, esto es, según la </w:t>
      </w:r>
      <w:r>
        <w:rPr>
          <w:noProof/>
          <w:lang w:eastAsia="es-CL"/>
        </w:rPr>
        <w:t>Norma UNE 139803-2012 Nivel AA, esto significa cumplir el nivel A y AA.</w:t>
      </w:r>
    </w:p>
    <w:p w:rsidR="00877477" w:rsidRDefault="00877477" w:rsidP="00423249">
      <w:pPr>
        <w:jc w:val="both"/>
        <w:rPr>
          <w:noProof/>
          <w:lang w:eastAsia="es-CL"/>
        </w:rPr>
      </w:pPr>
      <w:r>
        <w:rPr>
          <w:noProof/>
          <w:lang w:eastAsia="es-CL"/>
        </w:rPr>
        <w:t xml:space="preserve">Ambos sitios análizados se definen como sitios de administraciones públicas, tanto el del </w:t>
      </w:r>
      <w:r w:rsidR="000C1734" w:rsidRPr="000C1734">
        <w:rPr>
          <w:noProof/>
          <w:lang w:eastAsia="es-CL"/>
        </w:rPr>
        <w:t>Ministerio de Educación, Cultura y Deporte</w:t>
      </w:r>
      <w:r>
        <w:rPr>
          <w:noProof/>
          <w:lang w:eastAsia="es-CL"/>
        </w:rPr>
        <w:t xml:space="preserve"> como el </w:t>
      </w:r>
      <w:r w:rsidR="000C1734">
        <w:rPr>
          <w:noProof/>
          <w:lang w:eastAsia="es-CL"/>
        </w:rPr>
        <w:t>de la junta</w:t>
      </w:r>
      <w:r>
        <w:rPr>
          <w:noProof/>
          <w:lang w:eastAsia="es-CL"/>
        </w:rPr>
        <w:t xml:space="preserve"> Castilla y León. </w:t>
      </w:r>
    </w:p>
    <w:p w:rsidR="003F602C" w:rsidRDefault="00877477" w:rsidP="00423249">
      <w:pPr>
        <w:jc w:val="both"/>
        <w:rPr>
          <w:noProof/>
          <w:lang w:eastAsia="es-CL"/>
        </w:rPr>
      </w:pPr>
      <w:r>
        <w:rPr>
          <w:noProof/>
          <w:lang w:eastAsia="es-CL"/>
        </w:rPr>
        <w:t xml:space="preserve">La normativa señala que deben ofrecer al usuario </w:t>
      </w:r>
      <w:r w:rsidRPr="00877477">
        <w:rPr>
          <w:noProof/>
          <w:lang w:eastAsia="es-CL"/>
        </w:rPr>
        <w:t>información sobre su nivel de accesibilidad y facilitar un sistema de contacto para que puedan transmitir las dificultades de acceso al contenido de las páginas de Internet o formular cualquier queja, consulta o sugerencia de mejora</w:t>
      </w:r>
      <w:r>
        <w:rPr>
          <w:noProof/>
          <w:lang w:eastAsia="es-CL"/>
        </w:rPr>
        <w:t xml:space="preserve">. Ambos aspectos se cumplen, se presentan apartados de “accesibilidad” donde indican cumplir con </w:t>
      </w:r>
      <w:r w:rsidR="003F602C">
        <w:rPr>
          <w:noProof/>
          <w:lang w:eastAsia="es-CL"/>
        </w:rPr>
        <w:t xml:space="preserve">normativas, pero no las vigentes de acuerdo a la norma UNE 139803-2012 que establece como nivel medio el AA, mencionandose en la web del </w:t>
      </w:r>
      <w:r w:rsidR="003F602C" w:rsidRPr="000C1734">
        <w:rPr>
          <w:noProof/>
          <w:lang w:eastAsia="es-CL"/>
        </w:rPr>
        <w:t xml:space="preserve">Ministerio de Educación, Cultura y Deporte seguir la norma mencionada y ajustarse a las pautas definidas por la WAI del W3C para su nivel Doble </w:t>
      </w:r>
      <w:r w:rsidR="000C1734" w:rsidRPr="000C1734">
        <w:rPr>
          <w:noProof/>
          <w:lang w:eastAsia="es-CL"/>
        </w:rPr>
        <w:t>–</w:t>
      </w:r>
      <w:r w:rsidR="003F602C" w:rsidRPr="000C1734">
        <w:rPr>
          <w:noProof/>
          <w:lang w:eastAsia="es-CL"/>
        </w:rPr>
        <w:t>A</w:t>
      </w:r>
      <w:r w:rsidR="000C1734" w:rsidRPr="000C1734">
        <w:rPr>
          <w:noProof/>
          <w:lang w:eastAsia="es-CL"/>
        </w:rPr>
        <w:t xml:space="preserve">, pero se presenta una contradicción importante ya que se indican la WCAG 1.0 siendo el referente </w:t>
      </w:r>
      <w:r w:rsidR="00537454">
        <w:rPr>
          <w:noProof/>
          <w:lang w:eastAsia="es-CL"/>
        </w:rPr>
        <w:t xml:space="preserve">según legislación </w:t>
      </w:r>
      <w:r w:rsidR="000C1734" w:rsidRPr="000C1734">
        <w:rPr>
          <w:noProof/>
          <w:lang w:eastAsia="es-CL"/>
        </w:rPr>
        <w:t>la WCAG 2.0</w:t>
      </w:r>
      <w:r w:rsidR="000C1734">
        <w:rPr>
          <w:noProof/>
          <w:lang w:eastAsia="es-CL"/>
        </w:rPr>
        <w:t xml:space="preserve">. </w:t>
      </w:r>
    </w:p>
    <w:p w:rsidR="000C1734" w:rsidRDefault="000C1734" w:rsidP="00423249">
      <w:pPr>
        <w:jc w:val="both"/>
        <w:rPr>
          <w:noProof/>
          <w:lang w:eastAsia="es-CL"/>
        </w:rPr>
      </w:pPr>
      <w:r>
        <w:rPr>
          <w:noProof/>
          <w:lang w:eastAsia="es-CL"/>
        </w:rPr>
        <w:t>En cuanto al sitio de la Junta Castilla y León se ref</w:t>
      </w:r>
      <w:r w:rsidR="004A7A31">
        <w:rPr>
          <w:noProof/>
          <w:lang w:eastAsia="es-CL"/>
        </w:rPr>
        <w:t>erencia el cumplimiento de las p</w:t>
      </w:r>
      <w:r>
        <w:rPr>
          <w:noProof/>
          <w:lang w:eastAsia="es-CL"/>
        </w:rPr>
        <w:t>autas de accesibilidad de Contenido en la web 1.0 establecidas por el W3C, pero en los logos o membretes expuestos en la misma web se indican cumplir con el nivel AA de acuerdo a las WCAG 2.0.</w:t>
      </w:r>
    </w:p>
    <w:p w:rsidR="00537454" w:rsidRDefault="00537454" w:rsidP="00423249">
      <w:pPr>
        <w:jc w:val="both"/>
      </w:pPr>
      <w:r>
        <w:t xml:space="preserve">Al realizar el análisis utilizando herramientas automáticas, elaboradas por el mismo Word </w:t>
      </w:r>
      <w:proofErr w:type="spellStart"/>
      <w:r>
        <w:t>Wide</w:t>
      </w:r>
      <w:proofErr w:type="spellEnd"/>
      <w:r>
        <w:t xml:space="preserve"> Web </w:t>
      </w:r>
      <w:proofErr w:type="spellStart"/>
      <w:r>
        <w:t>Consortium</w:t>
      </w:r>
      <w:proofErr w:type="spellEnd"/>
      <w:r>
        <w:t xml:space="preserve"> (W3C) como es la herramienta TAW, se pudo realizar un análisis inicial de los sitios mencionados, el cual arrojo problemas, advertencias y problemas no verificados en todas las páginas revisadas, relacionados con aspectos tan básicos como la ausencia de contenido alternativo en elementos que los exigen como imágenes y otros recursos, listas vacías, sitios no validados en su programación y otros aspectos relevantes para lograr una accesibilidad de acuerdo a las exigencias establecidas. Este análisis deja en evidencia que la declaración señalada por las mismas entidades no se relaciona con la real</w:t>
      </w:r>
      <w:r w:rsidR="00124EFE">
        <w:t>idad, es decir muchos de los 38 criterios de éxito que deben cumplir, exigidos por la legislación vigente, para cumplir con el Nivel AA, no son cumplidos, y de acuerdo a la misma normativa que exige esto se exponen a sanciones o multas.</w:t>
      </w:r>
    </w:p>
    <w:p w:rsidR="00CD04F9" w:rsidRDefault="00CD04F9" w:rsidP="00423249">
      <w:pPr>
        <w:jc w:val="both"/>
      </w:pPr>
      <w:r>
        <w:lastRenderedPageBreak/>
        <w:t>Existen investigaciones en España sobre accesibilidad web, que presentan resultados equivalentes, entre estas destacamos:</w:t>
      </w:r>
    </w:p>
    <w:p w:rsidR="00CD04F9" w:rsidRPr="00CD04F9" w:rsidRDefault="00CD04F9" w:rsidP="00423249">
      <w:pPr>
        <w:jc w:val="both"/>
      </w:pPr>
      <w:r>
        <w:t>E</w:t>
      </w:r>
      <w:r w:rsidR="00CE629E">
        <w:t>l</w:t>
      </w:r>
      <w:r w:rsidRPr="00CD04F9">
        <w:t xml:space="preserve"> artículo “El acceso web para personas con capacidades limitadas en los ayuntamientos españoles” que analiza el grado de accesibilidad de las web de la administración local española para las personas con capacidades reducidas, en el contexto de la Ley de Transparencia de 2013. Se presentan 16 indicadores que permiten medir el acceso a la información por parte de usuarios con limitaciones </w:t>
      </w:r>
      <w:proofErr w:type="spellStart"/>
      <w:r w:rsidRPr="00CD04F9">
        <w:t>sociodemográﬁcas</w:t>
      </w:r>
      <w:proofErr w:type="spellEnd"/>
      <w:r w:rsidRPr="00CD04F9">
        <w:t xml:space="preserve"> o discapacidades físicas, los que se aplicaron a las web de los 62 ayuntamientos españoles con más de 100.000 habitantes. Los resultados muestran que la administración local española no permite el empoderamiento digital de estos ciudadanos, diﬁcultando su derecho de acceso a la información y la rendición de cuentas. </w:t>
      </w:r>
      <w:r w:rsidR="00F135AD" w:rsidRPr="00CD04F9">
        <w:fldChar w:fldCharType="begin" w:fldLock="1"/>
      </w:r>
      <w:r w:rsidR="00C527E3">
        <w:instrText>ADDIN CSL_CITATION { "citationItems" : [ { "id" : "ITEM-1", "itemData" : { "abstract" : "Este art\u00edculo analiza el grado de accesibilidad de las webs de la administraci\u00f3n local espa\u00f1ola para las personas con capacidades reducidas, en el contexto de la Ley de Transparencia de 2013. Se presentan 16 indicadores que permiten medir el acceso a la informaci\u00f3n por parte de usuarios con limitaciones sociodemogr\u00e1ficas o discapacidades f\u00edsicas, los que se aplicaron a las webs de los 62 ayuntamientos espa\u00f1oles con m\u00e1s de 100.000 habitantes. Los resultados muestran que la administraci\u00f3n local espa\u00f1ola no permite el empoderamiento digital de estos ciudadanos, dificultando su derecho de acceso a la informaci\u00f3n y la rendici\u00f3n de cuentas.\rThis article analyzes the degree of accessibility of the websites of the Spanish local administration for people with disabilities in the context of the Transparency Law of 2013. We present 16 indicators that measure the access to information by users with sociodemographic limitations or physical disabilities, which were applied to the websites of the 62 Spanish municipalities with more than 100,000 inhabitants. The results show that the Spanish local administration does not fully allow the digital empowerment of these citizens, hindering their right of access to information and accountability. \rEste artigo analisa o grau de acessibilidade de pessoas com capacidades reduzidas aos sites da administra\u00e7\u00e3o local espanhola no contexto da Lei de Transpar\u00eancia de 2013. Existem 16 indicadores que medem o acesso \u00e0 informa\u00e7\u00e3o por usu\u00e1rios com limita\u00e7\u00f5es sociodemogr\u00e1ficas ou defici\u00eancias f\u00edsicas. Os indicadores s\u00e3o aplicados aos sites dos 62 munic\u00edpios espanh\u00f3is com mais de 100 mil habitantes. Os resultados mostram que a administra\u00e7\u00e3o local espanhola n\u00e3o permite o empoderamento digital desses cidad\u00e3os, impedindo seu direito de acesso \u00e0 informa\u00e7\u00e3o e \u00e0 presta\u00e7\u00e3o de contas.", "author" : [ { "dropping-particle" : "", "family" : "Mart\u00edn", "given" : "Inmaculada S\u00e1nchez-labella", "non-dropping-particle" : "", "parse-names" : false, "suffix" : "" }, { "dropping-particle" : "", "family" : "Simelio", "given" : "N\u00faria", "non-dropping-particle" : "", "parse-names" : false, "suffix" : "" }, { "dropping-particle" : "", "family" : "Moreno-sard\u00e0", "given" : "Amparo", "non-dropping-particle" : "", "parse-names" : false, "suffix" : "" } ], "id" : "ITEM-1", "issued" : { "date-parts" : [ [ "2017" ] ] }, "page" : "155-173", "title" : "El acceso web para personas con capacidades limitadas en los ayuntamientos espa\u00f1oles 1 Web accessibility for people with disabilities in Spanish city councils", "type" : "article-journal" }, "uris" : [ "http://www.mendeley.com/documents/?uuid=21ed6d34-ffb6-469c-bf7e-fdf88952821b", "http://www.mendeley.com/documents/?uuid=c7630b1d-b480-4691-a05c-1104bfa3d395" ] } ], "mendeley" : { "formattedCitation" : "(Mart\u00edn et al., 2017)", "plainTextFormattedCitation" : "(Mart\u00edn et al., 2017)", "previouslyFormattedCitation" : "(Mart\u00edn et al., 2017)" }, "properties" : {  }, "schema" : "https://github.com/citation-style-language/schema/raw/master/csl-citation.json" }</w:instrText>
      </w:r>
      <w:r w:rsidR="00F135AD" w:rsidRPr="00CD04F9">
        <w:fldChar w:fldCharType="separate"/>
      </w:r>
      <w:r w:rsidRPr="00CD04F9">
        <w:rPr>
          <w:noProof/>
        </w:rPr>
        <w:t>(Martín et al., 2017)</w:t>
      </w:r>
      <w:r w:rsidR="00F135AD" w:rsidRPr="00CD04F9">
        <w:fldChar w:fldCharType="end"/>
      </w:r>
    </w:p>
    <w:p w:rsidR="00CD04F9" w:rsidRDefault="00CA15F1" w:rsidP="00423249">
      <w:pPr>
        <w:jc w:val="both"/>
      </w:pPr>
      <w:r>
        <w:t>Otro estudio se denomina “</w:t>
      </w:r>
      <w:r w:rsidRPr="00CA15F1">
        <w:t>Dificultades en la Accesibilidad Web de las Universidades Españolas de acuerdo a la Norma WCAG 2.</w:t>
      </w:r>
      <w:r>
        <w:t xml:space="preserve">0” cuyo propósito es conocer posibles limitaciones en el nivel de accesibilidad de las páginas principales y de estudiantes en 74 universidades españolas, el análisis porcentual constata que ni una sola de las universidades los supera en su totalidad en ninguna de las dos páginas analizadas. </w:t>
      </w:r>
      <w:r w:rsidR="00F135AD">
        <w:fldChar w:fldCharType="begin" w:fldLock="1"/>
      </w:r>
      <w:r w:rsidR="00C527E3">
        <w:instrText>ADDIN CSL_CITATION { "citationItems" : [ { "id" : "ITEM-1", "itemData" : { "DOI" : "10.3989/redc.2013.4.1009", "ISSN" : "0210-0614", "abstract" : "El prop\u00f3sito del estudio ha sido conocer posibles limitaciones en el nivel de accesibilidad de las p\u00e1ginas principales y de estudiantes, de los sitios web de 74 Universidades espa\u00f1olas, para lo cual se ha utilizado la herramienta TAW, que permite analizar, de acuerdo a la norma WCAG 2.0, la existencia de barreras en ellas. Despu\u00e9s de revisar autom\u00e1tica y manualmente los Principios, Pautas y Criterios de conformidad de la norma, en sus niveles de prioridad A y AA, un an\u00e1lisis porcentual constata que ni una sola de las universidades los supera en su totalidad en ninguna de las dos p\u00e1ginas analizadas, aunque la mejor situada en accesibilidad es la de Granada en ambas p\u00e1ginas, seguida de la de Alicante. Se concluye recomendando hacer chequeos y ajustes para resolver estos problemas y facilitar la accesibilidad web.", "author" : [ { "dropping-particle" : "", "family" : "Chac\u00f3n-Medina", "given" : "Antonio", "non-dropping-particle" : "", "parse-names" : false, "suffix" : "" }, { "dropping-particle" : "", "family" : "Chac\u00f3n-Lopez", "given" : "Helena", "non-dropping-particle" : "", "parse-names" : false, "suffix" : "" }, { "dropping-particle" : "", "family" : "Lopez-Justicia", "given" : "Dolores", "non-dropping-particle" : "", "parse-names" : false, "suffix" : "" }, { "dropping-particle" : "", "family" : "Fern\u00e1ndez-Jim\u00e9nez", "given" : "Carolina", "non-dropping-particle" : "", "parse-names" : false, "suffix" : "" } ], "container-title" : "Revista espa\u00f1ola de Documentaci\u00f3n Cient\u00edfica", "id" : "ITEM-1", "issued" : { "date-parts" : [ [ "2013" ] ] }, "title" : "Dificultades en la Accesibilidad Web de las Universidades Espa\u00f1olas de acuerdo a la norma WCAG 2.0", "type" : "article-journal" }, "uris" : [ "http://www.mendeley.com/documents/?uuid=a78a420e-7c04-4637-bc90-a8744de127aa" ] } ], "mendeley" : { "formattedCitation" : "(Chac\u00f3n-Medina et al., 2013)", "plainTextFormattedCitation" : "(Chac\u00f3n-Medina et al., 2013)", "previouslyFormattedCitation" : "(Chac\u00f3n-Medina et al., 2013)" }, "properties" : {  }, "schema" : "https://github.com/citation-style-language/schema/raw/master/csl-citation.json" }</w:instrText>
      </w:r>
      <w:r w:rsidR="00F135AD">
        <w:fldChar w:fldCharType="separate"/>
      </w:r>
      <w:r w:rsidR="00962BC3" w:rsidRPr="00962BC3">
        <w:rPr>
          <w:noProof/>
        </w:rPr>
        <w:t>(Chacón-Medina et al., 2013)</w:t>
      </w:r>
      <w:r w:rsidR="00F135AD">
        <w:fldChar w:fldCharType="end"/>
      </w:r>
    </w:p>
    <w:p w:rsidR="00CE629E" w:rsidRDefault="00CE629E" w:rsidP="00423249">
      <w:pPr>
        <w:jc w:val="both"/>
      </w:pPr>
      <w:r>
        <w:t>Con los resultados arrojados en ambos sitios más las referencias de otras investigaciones se constata que no existe regulación en el cumplimiento de las normativas vigentes para garantizar que los sitios web gubernamentales y educativos cumplan con las normas de accesibilidad.</w:t>
      </w:r>
    </w:p>
    <w:p w:rsidR="004A7A31" w:rsidRDefault="004A7A31">
      <w:r>
        <w:br w:type="page"/>
      </w:r>
    </w:p>
    <w:p w:rsidR="00C67D9D" w:rsidRDefault="00C67D9D" w:rsidP="00432552">
      <w:pPr>
        <w:jc w:val="both"/>
      </w:pPr>
    </w:p>
    <w:p w:rsidR="004F2933" w:rsidRDefault="004F2933">
      <w:r>
        <w:t>Referencias</w:t>
      </w:r>
    </w:p>
    <w:p w:rsidR="00EE59F4" w:rsidRPr="00EE59F4" w:rsidRDefault="00F135AD" w:rsidP="00EE59F4">
      <w:pPr>
        <w:widowControl w:val="0"/>
        <w:autoSpaceDE w:val="0"/>
        <w:autoSpaceDN w:val="0"/>
        <w:adjustRightInd w:val="0"/>
        <w:spacing w:line="240" w:lineRule="auto"/>
        <w:ind w:left="480" w:hanging="480"/>
        <w:rPr>
          <w:rFonts w:ascii="Calibri" w:hAnsi="Calibri" w:cs="Calibri"/>
          <w:noProof/>
          <w:szCs w:val="24"/>
        </w:rPr>
      </w:pPr>
      <w:r>
        <w:fldChar w:fldCharType="begin" w:fldLock="1"/>
      </w:r>
      <w:r w:rsidR="00E74E0C">
        <w:instrText xml:space="preserve">ADDIN Mendeley Bibliography CSL_BIBLIOGRAPHY </w:instrText>
      </w:r>
      <w:r>
        <w:fldChar w:fldCharType="separate"/>
      </w:r>
      <w:r w:rsidR="00EE59F4" w:rsidRPr="00EE59F4">
        <w:rPr>
          <w:rFonts w:ascii="Calibri" w:hAnsi="Calibri" w:cs="Calibri"/>
          <w:noProof/>
          <w:szCs w:val="24"/>
        </w:rPr>
        <w:t>Asociación Española de Normalización y Certificación. (2012). UNE 139803 : Requisitos de accesibilidad para contenidos en la web, 26. Retrieved from http://hdl.handle.net/10421/6861</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Bloom, D. E., Canning, D., &amp; Lubet, A. (2018). La demografía no es el destino. Retrieved from https://dialnet.unirioja.es/servlet/articulo?codigo=6351621</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BOE. (2007). Ley 56/2007, de 28 de diciembre, de Medidas de Impulso de la Sociedad de la Información. </w:t>
      </w:r>
      <w:r w:rsidRPr="00EE59F4">
        <w:rPr>
          <w:rFonts w:ascii="Calibri" w:hAnsi="Calibri" w:cs="Calibri"/>
          <w:i/>
          <w:iCs/>
          <w:noProof/>
          <w:szCs w:val="24"/>
        </w:rPr>
        <w:t>Agencia Estatal, Boletín Oficial Del Estado BOE</w:t>
      </w:r>
      <w:r w:rsidRPr="00EE59F4">
        <w:rPr>
          <w:rFonts w:ascii="Calibri" w:hAnsi="Calibri" w:cs="Calibri"/>
          <w:noProof/>
          <w:szCs w:val="24"/>
        </w:rPr>
        <w:t xml:space="preserve">, </w:t>
      </w:r>
      <w:r w:rsidRPr="00EE59F4">
        <w:rPr>
          <w:rFonts w:ascii="Calibri" w:hAnsi="Calibri" w:cs="Calibri"/>
          <w:i/>
          <w:iCs/>
          <w:noProof/>
          <w:szCs w:val="24"/>
        </w:rPr>
        <w:t>312</w:t>
      </w:r>
      <w:r w:rsidRPr="00EE59F4">
        <w:rPr>
          <w:rFonts w:ascii="Calibri" w:hAnsi="Calibri" w:cs="Calibri"/>
          <w:noProof/>
          <w:szCs w:val="24"/>
        </w:rPr>
        <w:t>, 53701–53719. Retrieved from https://www.boe.es/eli/es/l/2007/12/28/56/con</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BOE. (2013). Ministerio de Sanidad Asuntos Sociales e Igualdad. Real Decreto Legislativo 1/2013, de 29 de noviembre, por el que se aprueba el Texto Refundido de la Ley General de derechos de las personas con discapacidad y de su inclusión social. </w:t>
      </w:r>
      <w:r w:rsidRPr="00EE59F4">
        <w:rPr>
          <w:rFonts w:ascii="Calibri" w:hAnsi="Calibri" w:cs="Calibri"/>
          <w:i/>
          <w:iCs/>
          <w:noProof/>
          <w:szCs w:val="24"/>
        </w:rPr>
        <w:t>Boletín Oficial Del Estado</w:t>
      </w:r>
      <w:r w:rsidRPr="00EE59F4">
        <w:rPr>
          <w:rFonts w:ascii="Calibri" w:hAnsi="Calibri" w:cs="Calibri"/>
          <w:noProof/>
          <w:szCs w:val="24"/>
        </w:rPr>
        <w:t xml:space="preserve">, </w:t>
      </w:r>
      <w:r w:rsidRPr="00EE59F4">
        <w:rPr>
          <w:rFonts w:ascii="Calibri" w:hAnsi="Calibri" w:cs="Calibri"/>
          <w:i/>
          <w:iCs/>
          <w:noProof/>
          <w:szCs w:val="24"/>
        </w:rPr>
        <w:t>289</w:t>
      </w:r>
      <w:r w:rsidRPr="00EE59F4">
        <w:rPr>
          <w:rFonts w:ascii="Calibri" w:hAnsi="Calibri" w:cs="Calibri"/>
          <w:noProof/>
          <w:szCs w:val="24"/>
        </w:rPr>
        <w:t>(12632), 95635–95673. https://doi.org/10.1017/CBO9781107415324.004</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Boletin Oficial de Estado. (1982). Ley de Integración Social del Minusválido. (LISMI) Ley 13/1982, de 7 de abril. </w:t>
      </w:r>
      <w:r w:rsidRPr="00EE59F4">
        <w:rPr>
          <w:rFonts w:ascii="Calibri" w:hAnsi="Calibri" w:cs="Calibri"/>
          <w:i/>
          <w:iCs/>
          <w:noProof/>
          <w:szCs w:val="24"/>
        </w:rPr>
        <w:t>Boe</w:t>
      </w:r>
      <w:r w:rsidRPr="00EE59F4">
        <w:rPr>
          <w:rFonts w:ascii="Calibri" w:hAnsi="Calibri" w:cs="Calibri"/>
          <w:noProof/>
          <w:szCs w:val="24"/>
        </w:rPr>
        <w:t xml:space="preserve">, </w:t>
      </w:r>
      <w:r w:rsidRPr="00EE59F4">
        <w:rPr>
          <w:rFonts w:ascii="Calibri" w:hAnsi="Calibri" w:cs="Calibri"/>
          <w:i/>
          <w:iCs/>
          <w:noProof/>
          <w:szCs w:val="24"/>
        </w:rPr>
        <w:t>4</w:t>
      </w:r>
      <w:r w:rsidRPr="00EE59F4">
        <w:rPr>
          <w:rFonts w:ascii="Calibri" w:hAnsi="Calibri" w:cs="Calibri"/>
          <w:noProof/>
          <w:szCs w:val="24"/>
        </w:rPr>
        <w:t>(30), 11106–11112. Retrieved from https://www.boe.es/eli/es/l/1982/04/07/13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Chacón-Medina, A., Chacón-Lopez, H., Lopez-Justicia, D., &amp; Fernández-Jiménez, C. (2013). Dificultades en la Accesibilidad Web de las Universidades Españolas de acuerdo a la norma WCAG 2.0. </w:t>
      </w:r>
      <w:r w:rsidRPr="00EE59F4">
        <w:rPr>
          <w:rFonts w:ascii="Calibri" w:hAnsi="Calibri" w:cs="Calibri"/>
          <w:i/>
          <w:iCs/>
          <w:noProof/>
          <w:szCs w:val="24"/>
        </w:rPr>
        <w:t>Revista Española de Documentación Científica</w:t>
      </w:r>
      <w:r w:rsidRPr="00EE59F4">
        <w:rPr>
          <w:rFonts w:ascii="Calibri" w:hAnsi="Calibri" w:cs="Calibri"/>
          <w:noProof/>
          <w:szCs w:val="24"/>
        </w:rPr>
        <w:t>. https://doi.org/10.3989/redc.2013.4.1009</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Discapnet. (2018). La accesibilidad Web | Discapnet. Retrieved from https://www.discapnet.es/areas-tematicas/accesibilidad</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Fernández, S., &amp; Pértegas, S. (2002). Investigación cuantitativa y cualitativa. </w:t>
      </w:r>
      <w:r w:rsidRPr="00EE59F4">
        <w:rPr>
          <w:rFonts w:ascii="Calibri" w:hAnsi="Calibri" w:cs="Calibri"/>
          <w:i/>
          <w:iCs/>
          <w:noProof/>
          <w:szCs w:val="24"/>
        </w:rPr>
        <w:t>Cadena Atención Primaria</w:t>
      </w:r>
      <w:r w:rsidRPr="00EE59F4">
        <w:rPr>
          <w:rFonts w:ascii="Calibri" w:hAnsi="Calibri" w:cs="Calibri"/>
          <w:noProof/>
          <w:szCs w:val="24"/>
        </w:rPr>
        <w:t xml:space="preserve">, </w:t>
      </w:r>
      <w:r w:rsidRPr="00EE59F4">
        <w:rPr>
          <w:rFonts w:ascii="Calibri" w:hAnsi="Calibri" w:cs="Calibri"/>
          <w:i/>
          <w:iCs/>
          <w:noProof/>
          <w:szCs w:val="24"/>
        </w:rPr>
        <w:t>9</w:t>
      </w:r>
      <w:r w:rsidRPr="00EE59F4">
        <w:rPr>
          <w:rFonts w:ascii="Calibri" w:hAnsi="Calibri" w:cs="Calibri"/>
          <w:noProof/>
          <w:szCs w:val="24"/>
        </w:rPr>
        <w:t>(Figura 1), 76–78.</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Graells, M. T., Turró, M. R., &amp; Duesa, A. S. (2003). Nivel de Accesibilidad de las Sedes Web De Las Universidades Españolas. </w:t>
      </w:r>
      <w:r w:rsidRPr="00EE59F4">
        <w:rPr>
          <w:rFonts w:ascii="Calibri" w:hAnsi="Calibri" w:cs="Calibri"/>
          <w:i/>
          <w:iCs/>
          <w:noProof/>
          <w:szCs w:val="24"/>
        </w:rPr>
        <w:t>Revista Española De Documentación Cientifica</w:t>
      </w:r>
      <w:r w:rsidRPr="00EE59F4">
        <w:rPr>
          <w:rFonts w:ascii="Calibri" w:hAnsi="Calibri" w:cs="Calibri"/>
          <w:noProof/>
          <w:szCs w:val="24"/>
        </w:rPr>
        <w:t xml:space="preserve">, </w:t>
      </w:r>
      <w:r w:rsidRPr="00EE59F4">
        <w:rPr>
          <w:rFonts w:ascii="Calibri" w:hAnsi="Calibri" w:cs="Calibri"/>
          <w:i/>
          <w:iCs/>
          <w:noProof/>
          <w:szCs w:val="24"/>
        </w:rPr>
        <w:t>26</w:t>
      </w:r>
      <w:r w:rsidRPr="00EE59F4">
        <w:rPr>
          <w:rFonts w:ascii="Calibri" w:hAnsi="Calibri" w:cs="Calibri"/>
          <w:noProof/>
          <w:szCs w:val="24"/>
        </w:rPr>
        <w:t>(1), 1–19. https://doi.org/http://dx.doi.org/10.3989/redc.2003.v26.i1.131</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Hernández Sampieri, R., Fernández Collado, C., &amp; Baptista Lucio, P. (2010). Metodología de la Investigación.</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Hilera, J. R., Fernández, L., Suárez, E., &amp; Vilar, E. T. (2013). Evaluación de la accesibilidad de páginas web de universidades españolas y extranjeras incluidas en rankings universitarios internacionales. </w:t>
      </w:r>
      <w:r w:rsidRPr="00EE59F4">
        <w:rPr>
          <w:rFonts w:ascii="Calibri" w:hAnsi="Calibri" w:cs="Calibri"/>
          <w:i/>
          <w:iCs/>
          <w:noProof/>
          <w:szCs w:val="24"/>
        </w:rPr>
        <w:t>Revista Española de Documentación Científica</w:t>
      </w:r>
      <w:r w:rsidRPr="00EE59F4">
        <w:rPr>
          <w:rFonts w:ascii="Calibri" w:hAnsi="Calibri" w:cs="Calibri"/>
          <w:noProof/>
          <w:szCs w:val="24"/>
        </w:rPr>
        <w:t xml:space="preserve">, </w:t>
      </w:r>
      <w:r w:rsidRPr="00EE59F4">
        <w:rPr>
          <w:rFonts w:ascii="Calibri" w:hAnsi="Calibri" w:cs="Calibri"/>
          <w:i/>
          <w:iCs/>
          <w:noProof/>
          <w:szCs w:val="24"/>
        </w:rPr>
        <w:t>36</w:t>
      </w:r>
      <w:r w:rsidRPr="00EE59F4">
        <w:rPr>
          <w:rFonts w:ascii="Calibri" w:hAnsi="Calibri" w:cs="Calibri"/>
          <w:noProof/>
          <w:szCs w:val="24"/>
        </w:rPr>
        <w:t>(1), 4. https://doi.org/10.3989/redc.2013.1.913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INE. (2008). Instituto Nacional de Estadísticas. Encuesta sobre discapacidades, autonomía personal y situaciones de dependencia.</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INE. (2014). Proyección de la Población de España 2014-2064: Notas de prensa. </w:t>
      </w:r>
      <w:r w:rsidRPr="00EE59F4">
        <w:rPr>
          <w:rFonts w:ascii="Calibri" w:hAnsi="Calibri" w:cs="Calibri"/>
          <w:i/>
          <w:iCs/>
          <w:noProof/>
          <w:szCs w:val="24"/>
        </w:rPr>
        <w:t>Instituto Nacional de Estadística (INE)</w:t>
      </w:r>
      <w:r w:rsidRPr="00EE59F4">
        <w:rPr>
          <w:rFonts w:ascii="Calibri" w:hAnsi="Calibri" w:cs="Calibri"/>
          <w:noProof/>
          <w:szCs w:val="24"/>
        </w:rPr>
        <w:t>, 1–9. https://doi.org/10.1017/CBO9781107415324.004</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Luján Mora, S. (2018). Herramientas de revisión automática de la accesibilidad web. Retrieved </w:t>
      </w:r>
      <w:r w:rsidRPr="00EE59F4">
        <w:rPr>
          <w:rFonts w:ascii="Calibri" w:hAnsi="Calibri" w:cs="Calibri"/>
          <w:noProof/>
          <w:szCs w:val="24"/>
        </w:rPr>
        <w:lastRenderedPageBreak/>
        <w:t>from http://accesibilidadweb.dlsi.ua.es/?menu=hr-revision-automaticas</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Martín, I. S., Simelio, N., &amp; Moreno-sardà, A. (2017). El acceso web para personas con capacidades limitadas en los ayuntamientos españoles 1 Web accessibility for people with disabilities in Spanish city councils, 155–173.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Miranda, R. (2007). Discapacidad y eAccesibilidad. </w:t>
      </w:r>
      <w:r w:rsidRPr="00EE59F4">
        <w:rPr>
          <w:rFonts w:ascii="Calibri" w:hAnsi="Calibri" w:cs="Calibri"/>
          <w:i/>
          <w:iCs/>
          <w:noProof/>
          <w:szCs w:val="24"/>
        </w:rPr>
        <w:t>Cuadernos Fundación ORANGE</w:t>
      </w:r>
      <w:r w:rsidRPr="00EE59F4">
        <w:rPr>
          <w:rFonts w:ascii="Calibri" w:hAnsi="Calibri" w:cs="Calibri"/>
          <w:noProof/>
          <w:szCs w:val="24"/>
        </w:rPr>
        <w:t>, 1–35. Retrieved from http://ciapat.org/biblioteca/pdf/673-Discapacidad_y_Accesibilidad.pdf</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Morales, N. C., Chust, A. P., &amp; Serrano, D. T. (2015). Análisis de la accesibilidad en las páginas web de varios destinos turísticos de la provincia de Valencia-España. </w:t>
      </w:r>
      <w:r w:rsidRPr="00EE59F4">
        <w:rPr>
          <w:rFonts w:ascii="Calibri" w:hAnsi="Calibri" w:cs="Calibri"/>
          <w:i/>
          <w:iCs/>
          <w:noProof/>
          <w:szCs w:val="24"/>
        </w:rPr>
        <w:t>(Doctoral Dissertation)</w:t>
      </w:r>
      <w:r w:rsidRPr="00EE59F4">
        <w:rPr>
          <w:rFonts w:ascii="Calibri" w:hAnsi="Calibri" w:cs="Calibri"/>
          <w:noProof/>
          <w:szCs w:val="24"/>
        </w:rPr>
        <w:t>.</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Pastor, C. A. (2012). Aportaciones del Diseño Universal para el Aprendizaje y de los materiales digitales en el logro de una enseñanza accesible. </w:t>
      </w:r>
      <w:r w:rsidRPr="00EE59F4">
        <w:rPr>
          <w:rFonts w:ascii="Calibri" w:hAnsi="Calibri" w:cs="Calibri"/>
          <w:i/>
          <w:iCs/>
          <w:noProof/>
          <w:szCs w:val="24"/>
        </w:rPr>
        <w:t>Universidad Complutense de Madrid</w:t>
      </w:r>
      <w:r w:rsidRPr="00EE59F4">
        <w:rPr>
          <w:rFonts w:ascii="Calibri" w:hAnsi="Calibri" w:cs="Calibri"/>
          <w:noProof/>
          <w:szCs w:val="24"/>
        </w:rPr>
        <w:t>, 1–13. Retrieved from http://diversidad.murciaeduca.es/publicaciones/dea2012/docs/calba.pdf</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Pita Fernández, S., &amp; Pértegas Díaz, S. (2002). Investigación cuantitativa y cualitativa. </w:t>
      </w:r>
      <w:r w:rsidRPr="00EE59F4">
        <w:rPr>
          <w:rFonts w:ascii="Calibri" w:hAnsi="Calibri" w:cs="Calibri"/>
          <w:i/>
          <w:iCs/>
          <w:noProof/>
          <w:szCs w:val="24"/>
        </w:rPr>
        <w:t>Cad Aten Primaria</w:t>
      </w:r>
      <w:r w:rsidRPr="00EE59F4">
        <w:rPr>
          <w:rFonts w:ascii="Calibri" w:hAnsi="Calibri" w:cs="Calibri"/>
          <w:noProof/>
          <w:szCs w:val="24"/>
        </w:rPr>
        <w:t>, (9), 76–78.</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Prefasi Gomar, S., Magal Royo, T., Garde, F., &amp; Giménez López, J. L. (2010). Tecnologías de la información y de la comunicación orientadas a la educación de personas con discapacidad cognitiva. </w:t>
      </w:r>
      <w:r w:rsidRPr="00EE59F4">
        <w:rPr>
          <w:rFonts w:ascii="Calibri" w:hAnsi="Calibri" w:cs="Calibri"/>
          <w:i/>
          <w:iCs/>
          <w:noProof/>
          <w:szCs w:val="24"/>
        </w:rPr>
        <w:t>RELATEC - Revista Latinoamericana de Tecnología Educativa</w:t>
      </w:r>
      <w:r w:rsidRPr="00EE59F4">
        <w:rPr>
          <w:rFonts w:ascii="Calibri" w:hAnsi="Calibri" w:cs="Calibri"/>
          <w:noProof/>
          <w:szCs w:val="24"/>
        </w:rPr>
        <w:t xml:space="preserve">, </w:t>
      </w:r>
      <w:r w:rsidRPr="00EE59F4">
        <w:rPr>
          <w:rFonts w:ascii="Calibri" w:hAnsi="Calibri" w:cs="Calibri"/>
          <w:i/>
          <w:iCs/>
          <w:noProof/>
          <w:szCs w:val="24"/>
        </w:rPr>
        <w:t>9</w:t>
      </w:r>
      <w:r w:rsidRPr="00EE59F4">
        <w:rPr>
          <w:rFonts w:ascii="Calibri" w:hAnsi="Calibri" w:cs="Calibri"/>
          <w:noProof/>
          <w:szCs w:val="24"/>
        </w:rPr>
        <w:t>(2), 107–123.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Ribera, M., Térmens, M., &amp; Frías, A. (2009). La accessibilidad de las webs de las universidades españolas. Balance 2001-2006. </w:t>
      </w:r>
      <w:r w:rsidRPr="00EE59F4">
        <w:rPr>
          <w:rFonts w:ascii="Calibri" w:hAnsi="Calibri" w:cs="Calibri"/>
          <w:i/>
          <w:iCs/>
          <w:noProof/>
          <w:szCs w:val="24"/>
        </w:rPr>
        <w:t>Revista Española de Documentación Científica</w:t>
      </w:r>
      <w:r w:rsidRPr="00EE59F4">
        <w:rPr>
          <w:rFonts w:ascii="Calibri" w:hAnsi="Calibri" w:cs="Calibri"/>
          <w:noProof/>
          <w:szCs w:val="24"/>
        </w:rPr>
        <w:t xml:space="preserve">, </w:t>
      </w:r>
      <w:r w:rsidRPr="00EE59F4">
        <w:rPr>
          <w:rFonts w:ascii="Calibri" w:hAnsi="Calibri" w:cs="Calibri"/>
          <w:i/>
          <w:iCs/>
          <w:noProof/>
          <w:szCs w:val="24"/>
        </w:rPr>
        <w:t>32</w:t>
      </w:r>
      <w:r w:rsidRPr="00EE59F4">
        <w:rPr>
          <w:rFonts w:ascii="Calibri" w:hAnsi="Calibri" w:cs="Calibri"/>
          <w:noProof/>
          <w:szCs w:val="24"/>
        </w:rPr>
        <w:t>(3), 66–88. https://doi.org/10.3989/redc.2009.3.683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Serna, E. (2013). Accesibilidad en la Web. Retrieved from https://web.ua.es/es/curso-accesibilidad/documentos/parte-i-introduccion-a-la-accesibilidad-web.pdf</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Toboso-Martín, M., &amp; Rogero-García, J. (2012). “Diseño para todos” en la investigación social sobre personas con discapacidad. </w:t>
      </w:r>
      <w:r w:rsidRPr="00EE59F4">
        <w:rPr>
          <w:rFonts w:ascii="Calibri" w:hAnsi="Calibri" w:cs="Calibri"/>
          <w:i/>
          <w:iCs/>
          <w:noProof/>
          <w:szCs w:val="24"/>
        </w:rPr>
        <w:t>Revista Española de Investigaciones Sociológicas</w:t>
      </w:r>
      <w:r w:rsidRPr="00EE59F4">
        <w:rPr>
          <w:rFonts w:ascii="Calibri" w:hAnsi="Calibri" w:cs="Calibri"/>
          <w:noProof/>
          <w:szCs w:val="24"/>
        </w:rPr>
        <w:t>, 163–172. https://doi.org/10.5477/cis/reis.140.163</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UE. (2012). Carta de los derechos fundamentales de la unión europea, 391–407.</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UE. (2016). DIRECTIVA (UE) 2016/2102 DEL PARLAMENTO EUROPEO Y DEL CONSEJO de 26 de octubre de 2016 sobre la accesibilidad de los sitios web y aplicaciones para dispositivos móviles de los organismos del sector público, </w:t>
      </w:r>
      <w:r w:rsidRPr="00EE59F4">
        <w:rPr>
          <w:rFonts w:ascii="Calibri" w:hAnsi="Calibri" w:cs="Calibri"/>
          <w:i/>
          <w:iCs/>
          <w:noProof/>
          <w:szCs w:val="24"/>
        </w:rPr>
        <w:t>2014</w:t>
      </w:r>
      <w:r w:rsidRPr="00EE59F4">
        <w:rPr>
          <w:rFonts w:ascii="Calibri" w:hAnsi="Calibri" w:cs="Calibri"/>
          <w:noProof/>
          <w:szCs w:val="24"/>
        </w:rPr>
        <w:t>(2), 1–15.</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UN. (1948). Declaración Universal de Derechos Humanos, Naciones Unidas.</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UN. (1993). Naciones Unidas. Normas Uniformes sobre la igualdad de oportunidades para las personas con discapacidad.</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szCs w:val="24"/>
        </w:rPr>
      </w:pPr>
      <w:r w:rsidRPr="00EE59F4">
        <w:rPr>
          <w:rFonts w:ascii="Calibri" w:hAnsi="Calibri" w:cs="Calibri"/>
          <w:noProof/>
          <w:szCs w:val="24"/>
        </w:rPr>
        <w:t xml:space="preserve">UN. (2006). CONVENCIÓN SOBRE LOS DERECHOS DE LAS PERSONAS CON DISCAPACIDAD, NACIONES UNIDAS. </w:t>
      </w:r>
      <w:r w:rsidRPr="00EE59F4">
        <w:rPr>
          <w:rFonts w:ascii="Calibri" w:hAnsi="Calibri" w:cs="Calibri"/>
          <w:i/>
          <w:iCs/>
          <w:noProof/>
          <w:szCs w:val="24"/>
        </w:rPr>
        <w:t>Climate Change 2013 - The Physical Science Basis</w:t>
      </w:r>
      <w:r w:rsidRPr="00EE59F4">
        <w:rPr>
          <w:rFonts w:ascii="Calibri" w:hAnsi="Calibri" w:cs="Calibri"/>
          <w:noProof/>
          <w:szCs w:val="24"/>
        </w:rPr>
        <w:t>, 1–30. https://doi.org/10.1017/CBO9781107415324.004</w:t>
      </w:r>
    </w:p>
    <w:p w:rsidR="00EE59F4" w:rsidRPr="00EE59F4" w:rsidRDefault="00EE59F4" w:rsidP="00EE59F4">
      <w:pPr>
        <w:widowControl w:val="0"/>
        <w:autoSpaceDE w:val="0"/>
        <w:autoSpaceDN w:val="0"/>
        <w:adjustRightInd w:val="0"/>
        <w:spacing w:line="240" w:lineRule="auto"/>
        <w:ind w:left="480" w:hanging="480"/>
        <w:rPr>
          <w:rFonts w:ascii="Calibri" w:hAnsi="Calibri" w:cs="Calibri"/>
          <w:noProof/>
        </w:rPr>
      </w:pPr>
      <w:r w:rsidRPr="00EE59F4">
        <w:rPr>
          <w:rFonts w:ascii="Calibri" w:hAnsi="Calibri" w:cs="Calibri"/>
          <w:noProof/>
          <w:szCs w:val="24"/>
        </w:rPr>
        <w:t xml:space="preserve">Wigdorovitz De Camilloni, A. R. (2008). El concepto de inclusión educativa: definición y redefiniciones. </w:t>
      </w:r>
      <w:r w:rsidRPr="00EE59F4">
        <w:rPr>
          <w:rFonts w:ascii="Calibri" w:hAnsi="Calibri" w:cs="Calibri"/>
          <w:i/>
          <w:iCs/>
          <w:noProof/>
          <w:szCs w:val="24"/>
        </w:rPr>
        <w:t>Políticas Educativas–PolEd.</w:t>
      </w:r>
      <w:r w:rsidRPr="00EE59F4">
        <w:rPr>
          <w:rFonts w:ascii="Calibri" w:hAnsi="Calibri" w:cs="Calibri"/>
          <w:noProof/>
          <w:szCs w:val="24"/>
        </w:rPr>
        <w:t xml:space="preserve">, </w:t>
      </w:r>
      <w:r w:rsidRPr="00EE59F4">
        <w:rPr>
          <w:rFonts w:ascii="Calibri" w:hAnsi="Calibri" w:cs="Calibri"/>
          <w:i/>
          <w:iCs/>
          <w:noProof/>
          <w:szCs w:val="24"/>
        </w:rPr>
        <w:t>2</w:t>
      </w:r>
      <w:r w:rsidRPr="00EE59F4">
        <w:rPr>
          <w:rFonts w:ascii="Calibri" w:hAnsi="Calibri" w:cs="Calibri"/>
          <w:noProof/>
          <w:szCs w:val="24"/>
        </w:rPr>
        <w:t>(1), 1–12.</w:t>
      </w:r>
    </w:p>
    <w:p w:rsidR="004F2933" w:rsidRDefault="00F135AD">
      <w:r>
        <w:fldChar w:fldCharType="end"/>
      </w:r>
    </w:p>
    <w:sectPr w:rsidR="004F2933" w:rsidSect="00F135AD">
      <w:footerReference w:type="default" r:id="rId2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14" w:rsidRDefault="00547214" w:rsidP="00D81E11">
      <w:pPr>
        <w:spacing w:after="0" w:line="240" w:lineRule="auto"/>
      </w:pPr>
      <w:r>
        <w:separator/>
      </w:r>
    </w:p>
  </w:endnote>
  <w:endnote w:type="continuationSeparator" w:id="0">
    <w:p w:rsidR="00547214" w:rsidRDefault="00547214" w:rsidP="00D8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66675"/>
      <w:docPartObj>
        <w:docPartGallery w:val="Page Numbers (Bottom of Page)"/>
        <w:docPartUnique/>
      </w:docPartObj>
    </w:sdtPr>
    <w:sdtContent>
      <w:p w:rsidR="006538AF" w:rsidRDefault="00F135AD">
        <w:pPr>
          <w:pStyle w:val="Piedepgina"/>
          <w:jc w:val="right"/>
        </w:pPr>
        <w:r>
          <w:fldChar w:fldCharType="begin"/>
        </w:r>
        <w:r w:rsidR="006538AF">
          <w:instrText>PAGE   \* MERGEFORMAT</w:instrText>
        </w:r>
        <w:r>
          <w:fldChar w:fldCharType="separate"/>
        </w:r>
        <w:r w:rsidR="0048621E" w:rsidRPr="0048621E">
          <w:rPr>
            <w:noProof/>
            <w:lang w:val="es-ES"/>
          </w:rPr>
          <w:t>1</w:t>
        </w:r>
        <w:r>
          <w:fldChar w:fldCharType="end"/>
        </w:r>
      </w:p>
    </w:sdtContent>
  </w:sdt>
  <w:p w:rsidR="006538AF" w:rsidRDefault="006538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14" w:rsidRDefault="00547214" w:rsidP="00D81E11">
      <w:pPr>
        <w:spacing w:after="0" w:line="240" w:lineRule="auto"/>
      </w:pPr>
      <w:r>
        <w:separator/>
      </w:r>
    </w:p>
  </w:footnote>
  <w:footnote w:type="continuationSeparator" w:id="0">
    <w:p w:rsidR="00547214" w:rsidRDefault="00547214" w:rsidP="00D81E11">
      <w:pPr>
        <w:spacing w:after="0" w:line="240" w:lineRule="auto"/>
      </w:pPr>
      <w:r>
        <w:continuationSeparator/>
      </w:r>
    </w:p>
  </w:footnote>
  <w:footnote w:id="1">
    <w:p w:rsidR="006538AF" w:rsidRDefault="006538AF">
      <w:pPr>
        <w:pStyle w:val="Textonotapie"/>
      </w:pPr>
      <w:r w:rsidRPr="006538AF">
        <w:rPr>
          <w:rStyle w:val="Refdenotaalpie"/>
        </w:rPr>
        <w:footnoteRef/>
      </w:r>
      <w:r>
        <w:t xml:space="preserve"> Disponible en: </w:t>
      </w:r>
      <w:hyperlink r:id="rId1" w:anchor="!tabs-1254736194716" w:history="1">
        <w:r>
          <w:rPr>
            <w:rStyle w:val="Hipervnculo"/>
          </w:rPr>
          <w:t>https://www.ine.es/dyngs/INEbase/es/operacion.htm?c=Estadistica_C&amp;cid=1254736176782&amp;idp=1254735573175#!tabs-1254736194716</w:t>
        </w:r>
      </w:hyperlink>
    </w:p>
  </w:footnote>
  <w:footnote w:id="2">
    <w:p w:rsidR="006538AF" w:rsidRDefault="006538AF" w:rsidP="006538AF">
      <w:pPr>
        <w:pStyle w:val="Textonotapie"/>
      </w:pPr>
      <w:r>
        <w:rPr>
          <w:rStyle w:val="Refdenotaalpie"/>
        </w:rPr>
        <w:footnoteRef/>
      </w:r>
      <w:r>
        <w:t xml:space="preserve"> Disponible en: </w:t>
      </w:r>
      <w:hyperlink r:id="rId2" w:history="1">
        <w:r>
          <w:rPr>
            <w:rStyle w:val="Hipervnculo"/>
          </w:rPr>
          <w:t>http://www.nosolousabilidad.com/articulos/accesibilidad.htm?iframe=true&amp;width</w:t>
        </w:r>
      </w:hyperlink>
    </w:p>
  </w:footnote>
  <w:footnote w:id="3">
    <w:p w:rsidR="006538AF" w:rsidRDefault="006538AF">
      <w:pPr>
        <w:pStyle w:val="Textonotapie"/>
      </w:pPr>
      <w:r w:rsidRPr="006538AF">
        <w:rPr>
          <w:rStyle w:val="Refdenotaalpie"/>
        </w:rPr>
        <w:footnoteRef/>
      </w:r>
      <w:r>
        <w:t xml:space="preserve"> </w:t>
      </w:r>
      <w:hyperlink r:id="rId3" w:history="1">
        <w:r w:rsidRPr="00214E6F">
          <w:rPr>
            <w:rStyle w:val="Hipervnculo"/>
          </w:rPr>
          <w:t>https://www.tawdis.net//#</w:t>
        </w:r>
      </w:hyperlink>
      <w:r>
        <w:t xml:space="preserve"> </w:t>
      </w:r>
    </w:p>
  </w:footnote>
  <w:footnote w:id="4">
    <w:p w:rsidR="006538AF" w:rsidRDefault="006538AF" w:rsidP="00807E4D">
      <w:pPr>
        <w:pStyle w:val="Textonotapie"/>
      </w:pPr>
      <w:r w:rsidRPr="006538AF">
        <w:rPr>
          <w:rStyle w:val="Refdenotaalpie"/>
        </w:rPr>
        <w:footnoteRef/>
      </w:r>
      <w:r>
        <w:t xml:space="preserve"> </w:t>
      </w:r>
      <w:r>
        <w:rPr>
          <w:rFonts w:ascii="inherit" w:hAnsi="inherit"/>
          <w:color w:val="222222"/>
          <w:lang/>
        </w:rPr>
        <w:t>the Web Accessibility Initiative of the W3C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43"/>
    <w:multiLevelType w:val="multilevel"/>
    <w:tmpl w:val="C95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2B52"/>
    <w:multiLevelType w:val="multilevel"/>
    <w:tmpl w:val="23A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60643"/>
    <w:multiLevelType w:val="multilevel"/>
    <w:tmpl w:val="B890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442EDE"/>
    <w:multiLevelType w:val="hybridMultilevel"/>
    <w:tmpl w:val="CAC8FE78"/>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E9842B3C">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9422DD"/>
    <w:multiLevelType w:val="multilevel"/>
    <w:tmpl w:val="B890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8B7CF9"/>
    <w:multiLevelType w:val="hybridMultilevel"/>
    <w:tmpl w:val="F3BE4E9E"/>
    <w:lvl w:ilvl="0" w:tplc="39CA8BC2">
      <w:start w:val="16"/>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353" w:hanging="360"/>
      </w:pPr>
      <w:rPr>
        <w:rFonts w:ascii="Courier New" w:hAnsi="Courier New" w:cs="Courier New" w:hint="default"/>
      </w:rPr>
    </w:lvl>
    <w:lvl w:ilvl="2" w:tplc="6596B998">
      <w:numFmt w:val="bullet"/>
      <w:lvlText w:val="•"/>
      <w:lvlJc w:val="left"/>
      <w:pPr>
        <w:ind w:left="2160" w:hanging="360"/>
      </w:pPr>
      <w:rPr>
        <w:rFonts w:ascii="Calibri" w:eastAsiaTheme="minorEastAsia" w:hAnsi="Calibri" w:cs="Calibri"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785169"/>
    <w:multiLevelType w:val="multilevel"/>
    <w:tmpl w:val="B890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34C745F"/>
    <w:multiLevelType w:val="hybridMultilevel"/>
    <w:tmpl w:val="51A82A5C"/>
    <w:lvl w:ilvl="0" w:tplc="340A0015">
      <w:start w:val="1"/>
      <w:numFmt w:val="upp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E9842B3C">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A30E8D"/>
    <w:multiLevelType w:val="multilevel"/>
    <w:tmpl w:val="D46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172E8"/>
    <w:multiLevelType w:val="multilevel"/>
    <w:tmpl w:val="194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24BB2"/>
    <w:multiLevelType w:val="hybridMultilevel"/>
    <w:tmpl w:val="755A7D3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5CD22360"/>
    <w:multiLevelType w:val="multilevel"/>
    <w:tmpl w:val="9D101664"/>
    <w:lvl w:ilvl="0">
      <w:start w:val="2"/>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FE27D3D"/>
    <w:multiLevelType w:val="hybridMultilevel"/>
    <w:tmpl w:val="6E44BDE8"/>
    <w:lvl w:ilvl="0" w:tplc="4EF8D3A2">
      <w:start w:val="3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831738"/>
    <w:multiLevelType w:val="hybridMultilevel"/>
    <w:tmpl w:val="F25A10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6641F8A"/>
    <w:multiLevelType w:val="multilevel"/>
    <w:tmpl w:val="A800AA1A"/>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12"/>
  </w:num>
  <w:num w:numId="2">
    <w:abstractNumId w:val="9"/>
  </w:num>
  <w:num w:numId="3">
    <w:abstractNumId w:val="8"/>
  </w:num>
  <w:num w:numId="4">
    <w:abstractNumId w:val="3"/>
  </w:num>
  <w:num w:numId="5">
    <w:abstractNumId w:val="13"/>
  </w:num>
  <w:num w:numId="6">
    <w:abstractNumId w:val="10"/>
  </w:num>
  <w:num w:numId="7">
    <w:abstractNumId w:val="0"/>
  </w:num>
  <w:num w:numId="8">
    <w:abstractNumId w:val="1"/>
  </w:num>
  <w:num w:numId="9">
    <w:abstractNumId w:val="2"/>
  </w:num>
  <w:num w:numId="10">
    <w:abstractNumId w:val="4"/>
  </w:num>
  <w:num w:numId="11">
    <w:abstractNumId w:val="6"/>
  </w:num>
  <w:num w:numId="12">
    <w:abstractNumId w:val="11"/>
  </w:num>
  <w:num w:numId="13">
    <w:abstractNumId w:val="7"/>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06B70"/>
    <w:rsid w:val="00001D75"/>
    <w:rsid w:val="000044B4"/>
    <w:rsid w:val="000144D8"/>
    <w:rsid w:val="00015DBB"/>
    <w:rsid w:val="00016D19"/>
    <w:rsid w:val="00017CA0"/>
    <w:rsid w:val="00041526"/>
    <w:rsid w:val="00071CD7"/>
    <w:rsid w:val="00077189"/>
    <w:rsid w:val="000A1345"/>
    <w:rsid w:val="000B1240"/>
    <w:rsid w:val="000B7106"/>
    <w:rsid w:val="000C1734"/>
    <w:rsid w:val="000C4227"/>
    <w:rsid w:val="000D34C1"/>
    <w:rsid w:val="000E5D66"/>
    <w:rsid w:val="00106B70"/>
    <w:rsid w:val="00124EFE"/>
    <w:rsid w:val="00137E1A"/>
    <w:rsid w:val="001531B4"/>
    <w:rsid w:val="001A4201"/>
    <w:rsid w:val="001B48AB"/>
    <w:rsid w:val="001D06BE"/>
    <w:rsid w:val="00207AB3"/>
    <w:rsid w:val="00232110"/>
    <w:rsid w:val="00235A0A"/>
    <w:rsid w:val="002525DA"/>
    <w:rsid w:val="00255571"/>
    <w:rsid w:val="00256726"/>
    <w:rsid w:val="00260270"/>
    <w:rsid w:val="00262B05"/>
    <w:rsid w:val="00267632"/>
    <w:rsid w:val="002763D5"/>
    <w:rsid w:val="00281303"/>
    <w:rsid w:val="002A0EE0"/>
    <w:rsid w:val="002B0FD8"/>
    <w:rsid w:val="002B1761"/>
    <w:rsid w:val="002C139B"/>
    <w:rsid w:val="002C397C"/>
    <w:rsid w:val="002C745F"/>
    <w:rsid w:val="002E6633"/>
    <w:rsid w:val="002F1F21"/>
    <w:rsid w:val="002F2FF1"/>
    <w:rsid w:val="00305EEE"/>
    <w:rsid w:val="00314A0C"/>
    <w:rsid w:val="00323F4D"/>
    <w:rsid w:val="00341693"/>
    <w:rsid w:val="00341D92"/>
    <w:rsid w:val="00355BB3"/>
    <w:rsid w:val="00364145"/>
    <w:rsid w:val="003B2C4B"/>
    <w:rsid w:val="003B4276"/>
    <w:rsid w:val="003B5EC0"/>
    <w:rsid w:val="003B77E9"/>
    <w:rsid w:val="003C5DF0"/>
    <w:rsid w:val="003E5414"/>
    <w:rsid w:val="003F0C44"/>
    <w:rsid w:val="003F602C"/>
    <w:rsid w:val="004016D2"/>
    <w:rsid w:val="00407342"/>
    <w:rsid w:val="0041192D"/>
    <w:rsid w:val="00422B89"/>
    <w:rsid w:val="00423249"/>
    <w:rsid w:val="00432552"/>
    <w:rsid w:val="00446100"/>
    <w:rsid w:val="004523F4"/>
    <w:rsid w:val="00484FAB"/>
    <w:rsid w:val="0048610E"/>
    <w:rsid w:val="0048621E"/>
    <w:rsid w:val="004A7A31"/>
    <w:rsid w:val="004D419A"/>
    <w:rsid w:val="004D440A"/>
    <w:rsid w:val="004E23ED"/>
    <w:rsid w:val="004E7F39"/>
    <w:rsid w:val="004F2933"/>
    <w:rsid w:val="00537454"/>
    <w:rsid w:val="00541ED2"/>
    <w:rsid w:val="00547214"/>
    <w:rsid w:val="00580BC2"/>
    <w:rsid w:val="00583A63"/>
    <w:rsid w:val="00595B68"/>
    <w:rsid w:val="005A0EEB"/>
    <w:rsid w:val="005B329D"/>
    <w:rsid w:val="005C1991"/>
    <w:rsid w:val="005C37E5"/>
    <w:rsid w:val="005D7941"/>
    <w:rsid w:val="005F089C"/>
    <w:rsid w:val="005F20FD"/>
    <w:rsid w:val="005F5FAE"/>
    <w:rsid w:val="005F7DBC"/>
    <w:rsid w:val="006008E9"/>
    <w:rsid w:val="00613F4F"/>
    <w:rsid w:val="00617854"/>
    <w:rsid w:val="00620668"/>
    <w:rsid w:val="006256B9"/>
    <w:rsid w:val="00646762"/>
    <w:rsid w:val="0065028A"/>
    <w:rsid w:val="0065370A"/>
    <w:rsid w:val="006538AF"/>
    <w:rsid w:val="00671300"/>
    <w:rsid w:val="00671728"/>
    <w:rsid w:val="00680CF2"/>
    <w:rsid w:val="006A0832"/>
    <w:rsid w:val="006B73FE"/>
    <w:rsid w:val="006D5D11"/>
    <w:rsid w:val="006E2106"/>
    <w:rsid w:val="006E3A2A"/>
    <w:rsid w:val="006E3A67"/>
    <w:rsid w:val="006E3BB8"/>
    <w:rsid w:val="006E54B6"/>
    <w:rsid w:val="00710DBA"/>
    <w:rsid w:val="00715496"/>
    <w:rsid w:val="007163FC"/>
    <w:rsid w:val="00730CED"/>
    <w:rsid w:val="00732B19"/>
    <w:rsid w:val="0075017B"/>
    <w:rsid w:val="007615B4"/>
    <w:rsid w:val="00787286"/>
    <w:rsid w:val="00793B78"/>
    <w:rsid w:val="007B5684"/>
    <w:rsid w:val="007B75C6"/>
    <w:rsid w:val="007D1341"/>
    <w:rsid w:val="007E1284"/>
    <w:rsid w:val="007E27A1"/>
    <w:rsid w:val="007E5220"/>
    <w:rsid w:val="007F2189"/>
    <w:rsid w:val="00800493"/>
    <w:rsid w:val="00807E4D"/>
    <w:rsid w:val="00825072"/>
    <w:rsid w:val="00831174"/>
    <w:rsid w:val="008332C6"/>
    <w:rsid w:val="00863B2F"/>
    <w:rsid w:val="00877477"/>
    <w:rsid w:val="0089220D"/>
    <w:rsid w:val="008A0751"/>
    <w:rsid w:val="008A6F31"/>
    <w:rsid w:val="008C5942"/>
    <w:rsid w:val="008D2F73"/>
    <w:rsid w:val="008D49E8"/>
    <w:rsid w:val="008E3E71"/>
    <w:rsid w:val="008F0C08"/>
    <w:rsid w:val="008F72D8"/>
    <w:rsid w:val="008F74C2"/>
    <w:rsid w:val="008F7E6A"/>
    <w:rsid w:val="0090200A"/>
    <w:rsid w:val="00910DF1"/>
    <w:rsid w:val="009154BB"/>
    <w:rsid w:val="00925B19"/>
    <w:rsid w:val="00927103"/>
    <w:rsid w:val="0094288A"/>
    <w:rsid w:val="00953AEC"/>
    <w:rsid w:val="00962BC3"/>
    <w:rsid w:val="009650D4"/>
    <w:rsid w:val="00974A01"/>
    <w:rsid w:val="00986BBF"/>
    <w:rsid w:val="00993289"/>
    <w:rsid w:val="00997075"/>
    <w:rsid w:val="009A1116"/>
    <w:rsid w:val="009C7212"/>
    <w:rsid w:val="009D6B2E"/>
    <w:rsid w:val="009E0B99"/>
    <w:rsid w:val="009E2325"/>
    <w:rsid w:val="009E5AF5"/>
    <w:rsid w:val="009E6152"/>
    <w:rsid w:val="00A043CE"/>
    <w:rsid w:val="00A115B1"/>
    <w:rsid w:val="00A115C6"/>
    <w:rsid w:val="00A24014"/>
    <w:rsid w:val="00A26049"/>
    <w:rsid w:val="00A34084"/>
    <w:rsid w:val="00A41C33"/>
    <w:rsid w:val="00A45E8C"/>
    <w:rsid w:val="00A57122"/>
    <w:rsid w:val="00A6630B"/>
    <w:rsid w:val="00A70344"/>
    <w:rsid w:val="00A710EF"/>
    <w:rsid w:val="00A76634"/>
    <w:rsid w:val="00A77906"/>
    <w:rsid w:val="00A8607F"/>
    <w:rsid w:val="00A962CB"/>
    <w:rsid w:val="00A96F52"/>
    <w:rsid w:val="00AB076E"/>
    <w:rsid w:val="00AD62C4"/>
    <w:rsid w:val="00AD7F32"/>
    <w:rsid w:val="00AE118F"/>
    <w:rsid w:val="00AE3BF5"/>
    <w:rsid w:val="00AE6249"/>
    <w:rsid w:val="00AF6C36"/>
    <w:rsid w:val="00B12A73"/>
    <w:rsid w:val="00B317D1"/>
    <w:rsid w:val="00B44EDC"/>
    <w:rsid w:val="00B47937"/>
    <w:rsid w:val="00B5218F"/>
    <w:rsid w:val="00B54BEB"/>
    <w:rsid w:val="00B57612"/>
    <w:rsid w:val="00B72A67"/>
    <w:rsid w:val="00B964A2"/>
    <w:rsid w:val="00BC1FFB"/>
    <w:rsid w:val="00BC7429"/>
    <w:rsid w:val="00BD08BE"/>
    <w:rsid w:val="00C034BB"/>
    <w:rsid w:val="00C04A22"/>
    <w:rsid w:val="00C074F6"/>
    <w:rsid w:val="00C37A0E"/>
    <w:rsid w:val="00C419CA"/>
    <w:rsid w:val="00C420A1"/>
    <w:rsid w:val="00C527E3"/>
    <w:rsid w:val="00C56E69"/>
    <w:rsid w:val="00C605A6"/>
    <w:rsid w:val="00C624C3"/>
    <w:rsid w:val="00C64EA0"/>
    <w:rsid w:val="00C67D9D"/>
    <w:rsid w:val="00C74A94"/>
    <w:rsid w:val="00C761E7"/>
    <w:rsid w:val="00C77106"/>
    <w:rsid w:val="00C977DD"/>
    <w:rsid w:val="00C979E6"/>
    <w:rsid w:val="00CA15F1"/>
    <w:rsid w:val="00CA1B2A"/>
    <w:rsid w:val="00CA43AF"/>
    <w:rsid w:val="00CA4C12"/>
    <w:rsid w:val="00CA59DA"/>
    <w:rsid w:val="00CD04F9"/>
    <w:rsid w:val="00CD2346"/>
    <w:rsid w:val="00CE629E"/>
    <w:rsid w:val="00CE7027"/>
    <w:rsid w:val="00D043E3"/>
    <w:rsid w:val="00D0580F"/>
    <w:rsid w:val="00D1615D"/>
    <w:rsid w:val="00D21660"/>
    <w:rsid w:val="00D26D20"/>
    <w:rsid w:val="00D27BB8"/>
    <w:rsid w:val="00D57CFF"/>
    <w:rsid w:val="00D674DE"/>
    <w:rsid w:val="00D81E11"/>
    <w:rsid w:val="00D91946"/>
    <w:rsid w:val="00DA7ADF"/>
    <w:rsid w:val="00DC6897"/>
    <w:rsid w:val="00DD0C0D"/>
    <w:rsid w:val="00DD49A6"/>
    <w:rsid w:val="00DE0A9B"/>
    <w:rsid w:val="00DE3127"/>
    <w:rsid w:val="00DF4E40"/>
    <w:rsid w:val="00DF6800"/>
    <w:rsid w:val="00E01055"/>
    <w:rsid w:val="00E172AA"/>
    <w:rsid w:val="00E31230"/>
    <w:rsid w:val="00E538B4"/>
    <w:rsid w:val="00E558A6"/>
    <w:rsid w:val="00E56726"/>
    <w:rsid w:val="00E74E0C"/>
    <w:rsid w:val="00EA0E6F"/>
    <w:rsid w:val="00EB0C42"/>
    <w:rsid w:val="00EE43A3"/>
    <w:rsid w:val="00EE59F4"/>
    <w:rsid w:val="00EF0780"/>
    <w:rsid w:val="00F135AD"/>
    <w:rsid w:val="00F13FFC"/>
    <w:rsid w:val="00F246F2"/>
    <w:rsid w:val="00F6518D"/>
    <w:rsid w:val="00F662E7"/>
    <w:rsid w:val="00F7180B"/>
    <w:rsid w:val="00F82329"/>
    <w:rsid w:val="00F847CB"/>
    <w:rsid w:val="00F8584A"/>
    <w:rsid w:val="00F9011B"/>
    <w:rsid w:val="00F90ADE"/>
    <w:rsid w:val="00FA28D6"/>
    <w:rsid w:val="00FA6211"/>
    <w:rsid w:val="00FC10CC"/>
    <w:rsid w:val="00FD2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AD"/>
  </w:style>
  <w:style w:type="paragraph" w:styleId="Ttulo1">
    <w:name w:val="heading 1"/>
    <w:basedOn w:val="Normal"/>
    <w:link w:val="Ttulo1Car"/>
    <w:uiPriority w:val="9"/>
    <w:qFormat/>
    <w:rsid w:val="00B72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next w:val="Normal"/>
    <w:link w:val="Ttulo3Car"/>
    <w:uiPriority w:val="9"/>
    <w:semiHidden/>
    <w:unhideWhenUsed/>
    <w:qFormat/>
    <w:rsid w:val="000144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6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017B"/>
    <w:rPr>
      <w:color w:val="0563C1" w:themeColor="hyperlink"/>
      <w:u w:val="single"/>
    </w:rPr>
  </w:style>
  <w:style w:type="character" w:styleId="Textoennegrita">
    <w:name w:val="Strong"/>
    <w:basedOn w:val="Fuentedeprrafopredeter"/>
    <w:uiPriority w:val="22"/>
    <w:qFormat/>
    <w:rsid w:val="003C5DF0"/>
    <w:rPr>
      <w:b/>
      <w:bCs/>
    </w:rPr>
  </w:style>
  <w:style w:type="paragraph" w:styleId="Prrafodelista">
    <w:name w:val="List Paragraph"/>
    <w:basedOn w:val="Normal"/>
    <w:uiPriority w:val="34"/>
    <w:qFormat/>
    <w:rsid w:val="002E6633"/>
    <w:pPr>
      <w:ind w:left="720"/>
      <w:contextualSpacing/>
    </w:pPr>
  </w:style>
  <w:style w:type="character" w:customStyle="1" w:styleId="Ttulo1Car">
    <w:name w:val="Título 1 Car"/>
    <w:basedOn w:val="Fuentedeprrafopredeter"/>
    <w:link w:val="Ttulo1"/>
    <w:uiPriority w:val="9"/>
    <w:rsid w:val="00B72A67"/>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3E541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DE3127"/>
    <w:rPr>
      <w:i/>
      <w:iCs/>
    </w:rPr>
  </w:style>
  <w:style w:type="paragraph" w:styleId="Textonotapie">
    <w:name w:val="footnote text"/>
    <w:basedOn w:val="Normal"/>
    <w:link w:val="TextonotapieCar"/>
    <w:uiPriority w:val="99"/>
    <w:semiHidden/>
    <w:unhideWhenUsed/>
    <w:rsid w:val="00D81E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1E11"/>
    <w:rPr>
      <w:sz w:val="20"/>
      <w:szCs w:val="20"/>
    </w:rPr>
  </w:style>
  <w:style w:type="character" w:styleId="Refdenotaalpie">
    <w:name w:val="footnote reference"/>
    <w:basedOn w:val="Fuentedeprrafopredeter"/>
    <w:uiPriority w:val="99"/>
    <w:semiHidden/>
    <w:unhideWhenUsed/>
    <w:rsid w:val="00D81E11"/>
    <w:rPr>
      <w:vertAlign w:val="superscript"/>
    </w:rPr>
  </w:style>
  <w:style w:type="character" w:customStyle="1" w:styleId="Ttulo3Car">
    <w:name w:val="Título 3 Car"/>
    <w:basedOn w:val="Fuentedeprrafopredeter"/>
    <w:link w:val="Ttulo3"/>
    <w:uiPriority w:val="9"/>
    <w:semiHidden/>
    <w:rsid w:val="000144D8"/>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semiHidden/>
    <w:unhideWhenUsed/>
    <w:rsid w:val="0067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671728"/>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A66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30B"/>
  </w:style>
  <w:style w:type="paragraph" w:styleId="Piedepgina">
    <w:name w:val="footer"/>
    <w:basedOn w:val="Normal"/>
    <w:link w:val="PiedepginaCar"/>
    <w:uiPriority w:val="99"/>
    <w:unhideWhenUsed/>
    <w:rsid w:val="00A66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30B"/>
  </w:style>
  <w:style w:type="character" w:styleId="Refdenotaalfinal">
    <w:name w:val="endnote reference"/>
    <w:basedOn w:val="Fuentedeprrafopredeter"/>
    <w:uiPriority w:val="99"/>
    <w:semiHidden/>
    <w:unhideWhenUsed/>
    <w:rsid w:val="006538AF"/>
    <w:rPr>
      <w:vertAlign w:val="superscript"/>
    </w:rPr>
  </w:style>
  <w:style w:type="paragraph" w:styleId="Textodeglobo">
    <w:name w:val="Balloon Text"/>
    <w:basedOn w:val="Normal"/>
    <w:link w:val="TextodegloboCar"/>
    <w:uiPriority w:val="99"/>
    <w:semiHidden/>
    <w:unhideWhenUsed/>
    <w:rsid w:val="00486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0784">
      <w:bodyDiv w:val="1"/>
      <w:marLeft w:val="0"/>
      <w:marRight w:val="0"/>
      <w:marTop w:val="0"/>
      <w:marBottom w:val="0"/>
      <w:divBdr>
        <w:top w:val="none" w:sz="0" w:space="0" w:color="auto"/>
        <w:left w:val="none" w:sz="0" w:space="0" w:color="auto"/>
        <w:bottom w:val="none" w:sz="0" w:space="0" w:color="auto"/>
        <w:right w:val="none" w:sz="0" w:space="0" w:color="auto"/>
      </w:divBdr>
    </w:div>
    <w:div w:id="292490789">
      <w:bodyDiv w:val="1"/>
      <w:marLeft w:val="0"/>
      <w:marRight w:val="0"/>
      <w:marTop w:val="0"/>
      <w:marBottom w:val="0"/>
      <w:divBdr>
        <w:top w:val="none" w:sz="0" w:space="0" w:color="auto"/>
        <w:left w:val="none" w:sz="0" w:space="0" w:color="auto"/>
        <w:bottom w:val="none" w:sz="0" w:space="0" w:color="auto"/>
        <w:right w:val="none" w:sz="0" w:space="0" w:color="auto"/>
      </w:divBdr>
    </w:div>
    <w:div w:id="391464676">
      <w:bodyDiv w:val="1"/>
      <w:marLeft w:val="0"/>
      <w:marRight w:val="0"/>
      <w:marTop w:val="0"/>
      <w:marBottom w:val="0"/>
      <w:divBdr>
        <w:top w:val="none" w:sz="0" w:space="0" w:color="auto"/>
        <w:left w:val="none" w:sz="0" w:space="0" w:color="auto"/>
        <w:bottom w:val="none" w:sz="0" w:space="0" w:color="auto"/>
        <w:right w:val="none" w:sz="0" w:space="0" w:color="auto"/>
      </w:divBdr>
    </w:div>
    <w:div w:id="394161344">
      <w:bodyDiv w:val="1"/>
      <w:marLeft w:val="0"/>
      <w:marRight w:val="0"/>
      <w:marTop w:val="0"/>
      <w:marBottom w:val="0"/>
      <w:divBdr>
        <w:top w:val="none" w:sz="0" w:space="0" w:color="auto"/>
        <w:left w:val="none" w:sz="0" w:space="0" w:color="auto"/>
        <w:bottom w:val="none" w:sz="0" w:space="0" w:color="auto"/>
        <w:right w:val="none" w:sz="0" w:space="0" w:color="auto"/>
      </w:divBdr>
    </w:div>
    <w:div w:id="689767034">
      <w:bodyDiv w:val="1"/>
      <w:marLeft w:val="0"/>
      <w:marRight w:val="0"/>
      <w:marTop w:val="0"/>
      <w:marBottom w:val="0"/>
      <w:divBdr>
        <w:top w:val="none" w:sz="0" w:space="0" w:color="auto"/>
        <w:left w:val="none" w:sz="0" w:space="0" w:color="auto"/>
        <w:bottom w:val="none" w:sz="0" w:space="0" w:color="auto"/>
        <w:right w:val="none" w:sz="0" w:space="0" w:color="auto"/>
      </w:divBdr>
    </w:div>
    <w:div w:id="845826498">
      <w:bodyDiv w:val="1"/>
      <w:marLeft w:val="0"/>
      <w:marRight w:val="0"/>
      <w:marTop w:val="0"/>
      <w:marBottom w:val="0"/>
      <w:divBdr>
        <w:top w:val="none" w:sz="0" w:space="0" w:color="auto"/>
        <w:left w:val="none" w:sz="0" w:space="0" w:color="auto"/>
        <w:bottom w:val="none" w:sz="0" w:space="0" w:color="auto"/>
        <w:right w:val="none" w:sz="0" w:space="0" w:color="auto"/>
      </w:divBdr>
    </w:div>
    <w:div w:id="861430325">
      <w:bodyDiv w:val="1"/>
      <w:marLeft w:val="0"/>
      <w:marRight w:val="0"/>
      <w:marTop w:val="0"/>
      <w:marBottom w:val="0"/>
      <w:divBdr>
        <w:top w:val="none" w:sz="0" w:space="0" w:color="auto"/>
        <w:left w:val="none" w:sz="0" w:space="0" w:color="auto"/>
        <w:bottom w:val="none" w:sz="0" w:space="0" w:color="auto"/>
        <w:right w:val="none" w:sz="0" w:space="0" w:color="auto"/>
      </w:divBdr>
    </w:div>
    <w:div w:id="919022830">
      <w:bodyDiv w:val="1"/>
      <w:marLeft w:val="0"/>
      <w:marRight w:val="0"/>
      <w:marTop w:val="0"/>
      <w:marBottom w:val="0"/>
      <w:divBdr>
        <w:top w:val="none" w:sz="0" w:space="0" w:color="auto"/>
        <w:left w:val="none" w:sz="0" w:space="0" w:color="auto"/>
        <w:bottom w:val="none" w:sz="0" w:space="0" w:color="auto"/>
        <w:right w:val="none" w:sz="0" w:space="0" w:color="auto"/>
      </w:divBdr>
    </w:div>
    <w:div w:id="939921134">
      <w:bodyDiv w:val="1"/>
      <w:marLeft w:val="0"/>
      <w:marRight w:val="0"/>
      <w:marTop w:val="0"/>
      <w:marBottom w:val="0"/>
      <w:divBdr>
        <w:top w:val="none" w:sz="0" w:space="0" w:color="auto"/>
        <w:left w:val="none" w:sz="0" w:space="0" w:color="auto"/>
        <w:bottom w:val="none" w:sz="0" w:space="0" w:color="auto"/>
        <w:right w:val="none" w:sz="0" w:space="0" w:color="auto"/>
      </w:divBdr>
    </w:div>
    <w:div w:id="992223868">
      <w:bodyDiv w:val="1"/>
      <w:marLeft w:val="0"/>
      <w:marRight w:val="0"/>
      <w:marTop w:val="0"/>
      <w:marBottom w:val="0"/>
      <w:divBdr>
        <w:top w:val="none" w:sz="0" w:space="0" w:color="auto"/>
        <w:left w:val="none" w:sz="0" w:space="0" w:color="auto"/>
        <w:bottom w:val="none" w:sz="0" w:space="0" w:color="auto"/>
        <w:right w:val="none" w:sz="0" w:space="0" w:color="auto"/>
      </w:divBdr>
    </w:div>
    <w:div w:id="1033651484">
      <w:bodyDiv w:val="1"/>
      <w:marLeft w:val="0"/>
      <w:marRight w:val="0"/>
      <w:marTop w:val="0"/>
      <w:marBottom w:val="0"/>
      <w:divBdr>
        <w:top w:val="none" w:sz="0" w:space="0" w:color="auto"/>
        <w:left w:val="none" w:sz="0" w:space="0" w:color="auto"/>
        <w:bottom w:val="none" w:sz="0" w:space="0" w:color="auto"/>
        <w:right w:val="none" w:sz="0" w:space="0" w:color="auto"/>
      </w:divBdr>
      <w:divsChild>
        <w:div w:id="789084310">
          <w:blockQuote w:val="1"/>
          <w:marLeft w:val="720"/>
          <w:marRight w:val="720"/>
          <w:marTop w:val="100"/>
          <w:marBottom w:val="100"/>
          <w:divBdr>
            <w:top w:val="dotted" w:sz="12" w:space="8" w:color="003366"/>
            <w:left w:val="dotted" w:sz="12" w:space="8" w:color="003366"/>
            <w:bottom w:val="dotted" w:sz="12" w:space="8" w:color="003366"/>
            <w:right w:val="dotted" w:sz="12" w:space="8" w:color="003366"/>
          </w:divBdr>
        </w:div>
      </w:divsChild>
    </w:div>
    <w:div w:id="1055162328">
      <w:bodyDiv w:val="1"/>
      <w:marLeft w:val="0"/>
      <w:marRight w:val="0"/>
      <w:marTop w:val="0"/>
      <w:marBottom w:val="0"/>
      <w:divBdr>
        <w:top w:val="none" w:sz="0" w:space="0" w:color="auto"/>
        <w:left w:val="none" w:sz="0" w:space="0" w:color="auto"/>
        <w:bottom w:val="none" w:sz="0" w:space="0" w:color="auto"/>
        <w:right w:val="none" w:sz="0" w:space="0" w:color="auto"/>
      </w:divBdr>
    </w:div>
    <w:div w:id="1080054743">
      <w:bodyDiv w:val="1"/>
      <w:marLeft w:val="0"/>
      <w:marRight w:val="0"/>
      <w:marTop w:val="0"/>
      <w:marBottom w:val="0"/>
      <w:divBdr>
        <w:top w:val="none" w:sz="0" w:space="0" w:color="auto"/>
        <w:left w:val="none" w:sz="0" w:space="0" w:color="auto"/>
        <w:bottom w:val="none" w:sz="0" w:space="0" w:color="auto"/>
        <w:right w:val="none" w:sz="0" w:space="0" w:color="auto"/>
      </w:divBdr>
    </w:div>
    <w:div w:id="1116144513">
      <w:bodyDiv w:val="1"/>
      <w:marLeft w:val="0"/>
      <w:marRight w:val="0"/>
      <w:marTop w:val="0"/>
      <w:marBottom w:val="0"/>
      <w:divBdr>
        <w:top w:val="none" w:sz="0" w:space="0" w:color="auto"/>
        <w:left w:val="none" w:sz="0" w:space="0" w:color="auto"/>
        <w:bottom w:val="none" w:sz="0" w:space="0" w:color="auto"/>
        <w:right w:val="none" w:sz="0" w:space="0" w:color="auto"/>
      </w:divBdr>
    </w:div>
    <w:div w:id="1234773026">
      <w:bodyDiv w:val="1"/>
      <w:marLeft w:val="0"/>
      <w:marRight w:val="0"/>
      <w:marTop w:val="0"/>
      <w:marBottom w:val="0"/>
      <w:divBdr>
        <w:top w:val="none" w:sz="0" w:space="0" w:color="auto"/>
        <w:left w:val="none" w:sz="0" w:space="0" w:color="auto"/>
        <w:bottom w:val="none" w:sz="0" w:space="0" w:color="auto"/>
        <w:right w:val="none" w:sz="0" w:space="0" w:color="auto"/>
      </w:divBdr>
    </w:div>
    <w:div w:id="1318220103">
      <w:bodyDiv w:val="1"/>
      <w:marLeft w:val="0"/>
      <w:marRight w:val="0"/>
      <w:marTop w:val="0"/>
      <w:marBottom w:val="0"/>
      <w:divBdr>
        <w:top w:val="none" w:sz="0" w:space="0" w:color="auto"/>
        <w:left w:val="none" w:sz="0" w:space="0" w:color="auto"/>
        <w:bottom w:val="none" w:sz="0" w:space="0" w:color="auto"/>
        <w:right w:val="none" w:sz="0" w:space="0" w:color="auto"/>
      </w:divBdr>
    </w:div>
    <w:div w:id="1384519786">
      <w:bodyDiv w:val="1"/>
      <w:marLeft w:val="0"/>
      <w:marRight w:val="0"/>
      <w:marTop w:val="0"/>
      <w:marBottom w:val="0"/>
      <w:divBdr>
        <w:top w:val="none" w:sz="0" w:space="0" w:color="auto"/>
        <w:left w:val="none" w:sz="0" w:space="0" w:color="auto"/>
        <w:bottom w:val="none" w:sz="0" w:space="0" w:color="auto"/>
        <w:right w:val="none" w:sz="0" w:space="0" w:color="auto"/>
      </w:divBdr>
    </w:div>
    <w:div w:id="1417166368">
      <w:bodyDiv w:val="1"/>
      <w:marLeft w:val="0"/>
      <w:marRight w:val="0"/>
      <w:marTop w:val="0"/>
      <w:marBottom w:val="0"/>
      <w:divBdr>
        <w:top w:val="none" w:sz="0" w:space="0" w:color="auto"/>
        <w:left w:val="none" w:sz="0" w:space="0" w:color="auto"/>
        <w:bottom w:val="none" w:sz="0" w:space="0" w:color="auto"/>
        <w:right w:val="none" w:sz="0" w:space="0" w:color="auto"/>
      </w:divBdr>
    </w:div>
    <w:div w:id="1460876244">
      <w:bodyDiv w:val="1"/>
      <w:marLeft w:val="0"/>
      <w:marRight w:val="0"/>
      <w:marTop w:val="0"/>
      <w:marBottom w:val="0"/>
      <w:divBdr>
        <w:top w:val="none" w:sz="0" w:space="0" w:color="auto"/>
        <w:left w:val="none" w:sz="0" w:space="0" w:color="auto"/>
        <w:bottom w:val="none" w:sz="0" w:space="0" w:color="auto"/>
        <w:right w:val="none" w:sz="0" w:space="0" w:color="auto"/>
      </w:divBdr>
    </w:div>
    <w:div w:id="1553810073">
      <w:bodyDiv w:val="1"/>
      <w:marLeft w:val="0"/>
      <w:marRight w:val="0"/>
      <w:marTop w:val="0"/>
      <w:marBottom w:val="0"/>
      <w:divBdr>
        <w:top w:val="none" w:sz="0" w:space="0" w:color="auto"/>
        <w:left w:val="none" w:sz="0" w:space="0" w:color="auto"/>
        <w:bottom w:val="none" w:sz="0" w:space="0" w:color="auto"/>
        <w:right w:val="none" w:sz="0" w:space="0" w:color="auto"/>
      </w:divBdr>
    </w:div>
    <w:div w:id="1571038916">
      <w:bodyDiv w:val="1"/>
      <w:marLeft w:val="0"/>
      <w:marRight w:val="0"/>
      <w:marTop w:val="0"/>
      <w:marBottom w:val="0"/>
      <w:divBdr>
        <w:top w:val="none" w:sz="0" w:space="0" w:color="auto"/>
        <w:left w:val="none" w:sz="0" w:space="0" w:color="auto"/>
        <w:bottom w:val="none" w:sz="0" w:space="0" w:color="auto"/>
        <w:right w:val="none" w:sz="0" w:space="0" w:color="auto"/>
      </w:divBdr>
    </w:div>
    <w:div w:id="1571579687">
      <w:bodyDiv w:val="1"/>
      <w:marLeft w:val="0"/>
      <w:marRight w:val="0"/>
      <w:marTop w:val="0"/>
      <w:marBottom w:val="0"/>
      <w:divBdr>
        <w:top w:val="none" w:sz="0" w:space="0" w:color="auto"/>
        <w:left w:val="none" w:sz="0" w:space="0" w:color="auto"/>
        <w:bottom w:val="none" w:sz="0" w:space="0" w:color="auto"/>
        <w:right w:val="none" w:sz="0" w:space="0" w:color="auto"/>
      </w:divBdr>
    </w:div>
    <w:div w:id="1577521124">
      <w:bodyDiv w:val="1"/>
      <w:marLeft w:val="0"/>
      <w:marRight w:val="0"/>
      <w:marTop w:val="0"/>
      <w:marBottom w:val="0"/>
      <w:divBdr>
        <w:top w:val="none" w:sz="0" w:space="0" w:color="auto"/>
        <w:left w:val="none" w:sz="0" w:space="0" w:color="auto"/>
        <w:bottom w:val="none" w:sz="0" w:space="0" w:color="auto"/>
        <w:right w:val="none" w:sz="0" w:space="0" w:color="auto"/>
      </w:divBdr>
    </w:div>
    <w:div w:id="1626889680">
      <w:bodyDiv w:val="1"/>
      <w:marLeft w:val="0"/>
      <w:marRight w:val="0"/>
      <w:marTop w:val="0"/>
      <w:marBottom w:val="0"/>
      <w:divBdr>
        <w:top w:val="none" w:sz="0" w:space="0" w:color="auto"/>
        <w:left w:val="none" w:sz="0" w:space="0" w:color="auto"/>
        <w:bottom w:val="none" w:sz="0" w:space="0" w:color="auto"/>
        <w:right w:val="none" w:sz="0" w:space="0" w:color="auto"/>
      </w:divBdr>
    </w:div>
    <w:div w:id="1630013159">
      <w:bodyDiv w:val="1"/>
      <w:marLeft w:val="0"/>
      <w:marRight w:val="0"/>
      <w:marTop w:val="0"/>
      <w:marBottom w:val="0"/>
      <w:divBdr>
        <w:top w:val="none" w:sz="0" w:space="0" w:color="auto"/>
        <w:left w:val="none" w:sz="0" w:space="0" w:color="auto"/>
        <w:bottom w:val="none" w:sz="0" w:space="0" w:color="auto"/>
        <w:right w:val="none" w:sz="0" w:space="0" w:color="auto"/>
      </w:divBdr>
    </w:div>
    <w:div w:id="1731072488">
      <w:bodyDiv w:val="1"/>
      <w:marLeft w:val="0"/>
      <w:marRight w:val="0"/>
      <w:marTop w:val="0"/>
      <w:marBottom w:val="0"/>
      <w:divBdr>
        <w:top w:val="none" w:sz="0" w:space="0" w:color="auto"/>
        <w:left w:val="none" w:sz="0" w:space="0" w:color="auto"/>
        <w:bottom w:val="none" w:sz="0" w:space="0" w:color="auto"/>
        <w:right w:val="none" w:sz="0" w:space="0" w:color="auto"/>
      </w:divBdr>
    </w:div>
    <w:div w:id="1784226215">
      <w:bodyDiv w:val="1"/>
      <w:marLeft w:val="0"/>
      <w:marRight w:val="0"/>
      <w:marTop w:val="0"/>
      <w:marBottom w:val="0"/>
      <w:divBdr>
        <w:top w:val="none" w:sz="0" w:space="0" w:color="auto"/>
        <w:left w:val="none" w:sz="0" w:space="0" w:color="auto"/>
        <w:bottom w:val="none" w:sz="0" w:space="0" w:color="auto"/>
        <w:right w:val="none" w:sz="0" w:space="0" w:color="auto"/>
      </w:divBdr>
    </w:div>
    <w:div w:id="1834640094">
      <w:bodyDiv w:val="1"/>
      <w:marLeft w:val="0"/>
      <w:marRight w:val="0"/>
      <w:marTop w:val="0"/>
      <w:marBottom w:val="0"/>
      <w:divBdr>
        <w:top w:val="none" w:sz="0" w:space="0" w:color="auto"/>
        <w:left w:val="none" w:sz="0" w:space="0" w:color="auto"/>
        <w:bottom w:val="none" w:sz="0" w:space="0" w:color="auto"/>
        <w:right w:val="none" w:sz="0" w:space="0" w:color="auto"/>
      </w:divBdr>
    </w:div>
    <w:div w:id="1980185629">
      <w:bodyDiv w:val="1"/>
      <w:marLeft w:val="0"/>
      <w:marRight w:val="0"/>
      <w:marTop w:val="0"/>
      <w:marBottom w:val="0"/>
      <w:divBdr>
        <w:top w:val="none" w:sz="0" w:space="0" w:color="auto"/>
        <w:left w:val="none" w:sz="0" w:space="0" w:color="auto"/>
        <w:bottom w:val="none" w:sz="0" w:space="0" w:color="auto"/>
        <w:right w:val="none" w:sz="0" w:space="0" w:color="auto"/>
      </w:divBdr>
    </w:div>
    <w:div w:id="2005086918">
      <w:bodyDiv w:val="1"/>
      <w:marLeft w:val="0"/>
      <w:marRight w:val="0"/>
      <w:marTop w:val="0"/>
      <w:marBottom w:val="0"/>
      <w:divBdr>
        <w:top w:val="none" w:sz="0" w:space="0" w:color="auto"/>
        <w:left w:val="none" w:sz="0" w:space="0" w:color="auto"/>
        <w:bottom w:val="none" w:sz="0" w:space="0" w:color="auto"/>
        <w:right w:val="none" w:sz="0" w:space="0" w:color="auto"/>
      </w:divBdr>
      <w:divsChild>
        <w:div w:id="1357385639">
          <w:blockQuote w:val="1"/>
          <w:marLeft w:val="720"/>
          <w:marRight w:val="720"/>
          <w:marTop w:val="100"/>
          <w:marBottom w:val="100"/>
          <w:divBdr>
            <w:top w:val="dotted" w:sz="12" w:space="8" w:color="003366"/>
            <w:left w:val="dotted" w:sz="12" w:space="8" w:color="003366"/>
            <w:bottom w:val="dotted" w:sz="12" w:space="8" w:color="003366"/>
            <w:right w:val="dotted" w:sz="12" w:space="8" w:color="003366"/>
          </w:divBdr>
        </w:div>
      </w:divsChild>
    </w:div>
    <w:div w:id="21292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ortiz@ulagos.cl" TargetMode="External"/><Relationship Id="rId13" Type="http://schemas.openxmlformats.org/officeDocument/2006/relationships/image" Target="media/image2.png"/><Relationship Id="rId18" Type="http://schemas.openxmlformats.org/officeDocument/2006/relationships/hyperlink" Target="https://www.mecd.gob.es/portada-mec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cyl.es/" TargetMode="External"/><Relationship Id="rId17" Type="http://schemas.openxmlformats.org/officeDocument/2006/relationships/hyperlink" Target="http://www.jcyl.es/" TargetMode="External"/><Relationship Id="rId2" Type="http://schemas.openxmlformats.org/officeDocument/2006/relationships/numbering" Target="numbering.xml"/><Relationship Id="rId16" Type="http://schemas.openxmlformats.org/officeDocument/2006/relationships/hyperlink" Target="https://www.mecd.gob.es/educacion-mecd/" TargetMode="External"/><Relationship Id="rId20" Type="http://schemas.openxmlformats.org/officeDocument/2006/relationships/hyperlink" Target="http://www.jcy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mecd.gob.es/portada-mecd/" TargetMode="External"/><Relationship Id="rId23" Type="http://schemas.openxmlformats.org/officeDocument/2006/relationships/theme" Target="theme/theme1.xml"/><Relationship Id="rId10" Type="http://schemas.openxmlformats.org/officeDocument/2006/relationships/hyperlink" Target="https://www.mecd.gob.es/portada-mecd/" TargetMode="External"/><Relationship Id="rId19" Type="http://schemas.openxmlformats.org/officeDocument/2006/relationships/hyperlink" Target="https://www.mecd.gob.es/educacion-mecd/" TargetMode="External"/><Relationship Id="rId4" Type="http://schemas.openxmlformats.org/officeDocument/2006/relationships/settings" Target="settings.xml"/><Relationship Id="rId9" Type="http://schemas.openxmlformats.org/officeDocument/2006/relationships/hyperlink" Target="http://www.ohchr.org/SP/UDHR/Pages/SearchByLang.aspx"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wdis.net//" TargetMode="External"/><Relationship Id="rId2" Type="http://schemas.openxmlformats.org/officeDocument/2006/relationships/hyperlink" Target="http://www.nosolousabilidad.com/articulos/accesibilidad.htm?iframe=true&amp;width" TargetMode="External"/><Relationship Id="rId1" Type="http://schemas.openxmlformats.org/officeDocument/2006/relationships/hyperlink" Target="https://www.ine.es/dyngs/INEbase/es/operacion.htm?c=Estadistica_C&amp;cid=1254736176782&amp;idp=12547355731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1B3A-3E5C-41CB-9B44-3461F9A3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17754</Words>
  <Characters>97649</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Biologia y Quimica</dc:creator>
  <cp:lastModifiedBy>Pere Marques Graells</cp:lastModifiedBy>
  <cp:revision>2</cp:revision>
  <dcterms:created xsi:type="dcterms:W3CDTF">2020-05-15T19:32:00Z</dcterms:created>
  <dcterms:modified xsi:type="dcterms:W3CDTF">2020-05-15T19:32:00Z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ac05c231-eeb5-33cc-984f-76de3058db65</vt:lpwstr>
  </property>
  <property fmtid="{D5CDD505-2E9C-101B-9397-08002B2CF9AE}" pid="24" name="Mendeley Citation Style_1">
    <vt:lpwstr>http://www.zotero.org/styles/apa</vt:lpwstr>
  </property>
</Properties>
</file>